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DC" w:rsidRDefault="00ED10DC" w:rsidP="00ED10DC">
      <w:pPr>
        <w:snapToGrid w:val="0"/>
        <w:spacing w:line="360" w:lineRule="auto"/>
        <w:jc w:val="center"/>
        <w:rPr>
          <w:rFonts w:ascii="仿宋" w:eastAsia="仿宋" w:hAnsi="仿宋" w:hint="eastAsia"/>
          <w:b/>
          <w:sz w:val="28"/>
          <w:szCs w:val="28"/>
        </w:rPr>
      </w:pPr>
      <w:r w:rsidRPr="00ED10DC">
        <w:rPr>
          <w:rFonts w:ascii="仿宋" w:eastAsia="仿宋" w:hAnsi="仿宋" w:cs="仿宋_GB2312" w:hint="eastAsia"/>
          <w:b/>
          <w:sz w:val="32"/>
        </w:rPr>
        <w:t>尿液分析检测试剂</w:t>
      </w:r>
      <w:r>
        <w:rPr>
          <w:rFonts w:ascii="仿宋" w:eastAsia="仿宋" w:hAnsi="仿宋" w:cs="仿宋_GB2312" w:hint="eastAsia"/>
          <w:b/>
          <w:sz w:val="32"/>
        </w:rPr>
        <w:t>货物清单及技术要求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2"/>
        <w:gridCol w:w="6720"/>
      </w:tblGrid>
      <w:tr w:rsidR="00ED10DC" w:rsidTr="00ED10DC">
        <w:trPr>
          <w:trHeight w:val="525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▲6.1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提供配套全自动尿液干化学及尿有形成分分析一体机2台，同时可根据实际需求提供急诊及发热门诊各1台同品牌小型尿液分析检测仪器（仪器尺寸另定）</w:t>
            </w:r>
          </w:p>
        </w:tc>
      </w:tr>
      <w:tr w:rsidR="00ED10DC" w:rsidTr="00ED10DC">
        <w:trPr>
          <w:trHeight w:val="510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试剂技术参数及功能要求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实质性指标用“▲”表示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7.1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物理学指标：颜色、浊度、电导率；干化学项目：搭配不同的试纸条，可检测干化学14项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shd w:val="clear" w:color="auto" w:fill="auto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7.2</w:t>
            </w:r>
          </w:p>
        </w:tc>
        <w:tc>
          <w:tcPr>
            <w:tcW w:w="3943" w:type="pct"/>
            <w:shd w:val="clear" w:color="000000" w:fill="FFFFFF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提供通过CFDA认证的高、低、中浓度质控品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shd w:val="clear" w:color="auto" w:fill="auto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7.3</w:t>
            </w:r>
          </w:p>
        </w:tc>
        <w:tc>
          <w:tcPr>
            <w:tcW w:w="3943" w:type="pct"/>
            <w:shd w:val="clear" w:color="000000" w:fill="FFFFFF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提供通过CFDA认证的校准品</w:t>
            </w:r>
          </w:p>
        </w:tc>
      </w:tr>
      <w:tr w:rsidR="00ED10DC" w:rsidTr="00ED10DC">
        <w:trPr>
          <w:trHeight w:val="330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7.4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干化学检测重复性CV≤1.0% ；有形成分检测重复性CV≤10.0%</w:t>
            </w:r>
          </w:p>
        </w:tc>
      </w:tr>
      <w:tr w:rsidR="00ED10DC" w:rsidTr="00ED10DC">
        <w:trPr>
          <w:trHeight w:val="480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设备技术参数及功能要求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实质性指标用“▲”表示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8.1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检测原理：尿有形成分分析采用动识别原理，干化学采用比色法。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8.2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检测速度：单机干化学+有形成分测试模式≥100个/每小时；</w:t>
            </w:r>
          </w:p>
        </w:tc>
      </w:tr>
      <w:tr w:rsidR="00ED10DC" w:rsidTr="00ED10DC">
        <w:trPr>
          <w:trHeight w:val="522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▲8.3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干化学检测参数≥11项，需含尿胆原、胆红素、酮体、隐血、蛋白质、亚硝酸盐、白细胞、葡萄糖、酸碱度、比重、维生素C，具备浊度、颜色、电导率、渗透压检测功能；（提供相关证明材料）</w:t>
            </w:r>
          </w:p>
        </w:tc>
      </w:tr>
      <w:tr w:rsidR="00ED10DC" w:rsidTr="00ED10DC">
        <w:trPr>
          <w:trHeight w:val="525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8.4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可通过红细胞形态的鉴定发出红细胞形态学报告，可提供报告参数≥4项；有形成分自动识别测试项目≥20项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8.5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样本需求量及处理；联合测试模式≤2.5mL;标本无需离心及染色，可原尿直接上机检测</w:t>
            </w:r>
          </w:p>
        </w:tc>
      </w:tr>
      <w:tr w:rsidR="00ED10DC" w:rsidTr="00ED10DC">
        <w:trPr>
          <w:trHeight w:val="390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▲8.6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装机空间要求：需满足场地要求，场地长度≤850mm，宽度≤750mm，设备占地面积不得超越此范围。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8.7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具备优先检测急诊标本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8.8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分析系统可自动识别试管位号与试管架号；支持条码识别，可内置条形码扫描器识别条形码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shd w:val="clear" w:color="auto" w:fill="auto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8.9</w:t>
            </w:r>
          </w:p>
        </w:tc>
        <w:tc>
          <w:tcPr>
            <w:tcW w:w="3943" w:type="pct"/>
            <w:shd w:val="clear" w:color="000000" w:fill="FFFFFF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携带污染率：阳性样本的随后检测阴性样本，阴性样本不得出现阳性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shd w:val="clear" w:color="auto" w:fill="auto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8.10</w:t>
            </w:r>
          </w:p>
        </w:tc>
        <w:tc>
          <w:tcPr>
            <w:tcW w:w="3943" w:type="pct"/>
            <w:shd w:val="clear" w:color="000000" w:fill="FFFFFF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检出限：红细胞、白细胞的检出限均为5个/ul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shd w:val="clear" w:color="auto" w:fill="auto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8.11</w:t>
            </w:r>
          </w:p>
        </w:tc>
        <w:tc>
          <w:tcPr>
            <w:tcW w:w="3943" w:type="pct"/>
            <w:shd w:val="clear" w:color="000000" w:fill="FFFFFF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采用液面感应技术，当测试样本量不足时有报警提示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shd w:val="clear" w:color="auto" w:fill="auto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8.12</w:t>
            </w:r>
          </w:p>
        </w:tc>
        <w:tc>
          <w:tcPr>
            <w:tcW w:w="3943" w:type="pct"/>
            <w:shd w:val="clear" w:color="000000" w:fill="FFFFFF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且具备反冲排堵功能</w:t>
            </w:r>
          </w:p>
        </w:tc>
      </w:tr>
      <w:tr w:rsidR="00ED10DC" w:rsidTr="00ED10DC">
        <w:trPr>
          <w:trHeight w:val="319"/>
        </w:trPr>
        <w:tc>
          <w:tcPr>
            <w:tcW w:w="1057" w:type="pct"/>
            <w:vAlign w:val="center"/>
          </w:tcPr>
          <w:p w:rsidR="00ED10DC" w:rsidRDefault="00ED10DC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8.13</w:t>
            </w:r>
          </w:p>
        </w:tc>
        <w:tc>
          <w:tcPr>
            <w:tcW w:w="3943" w:type="pct"/>
            <w:vAlign w:val="center"/>
          </w:tcPr>
          <w:p w:rsidR="00ED10DC" w:rsidRDefault="00ED10DC" w:rsidP="00F15CD4">
            <w:pPr>
              <w:widowControl/>
              <w:adjustRightInd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具有与实验室信息系统进行通信的数据接口，可与实验室信息系统进行通信互联LIS</w:t>
            </w:r>
          </w:p>
        </w:tc>
      </w:tr>
    </w:tbl>
    <w:p w:rsidR="001C48EF" w:rsidRPr="00ED10DC" w:rsidRDefault="001C48EF"/>
    <w:sectPr w:rsidR="001C48EF" w:rsidRPr="00ED10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8EF" w:rsidRPr="008532A3" w:rsidRDefault="001C48EF" w:rsidP="00ED10DC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endnote>
  <w:endnote w:type="continuationSeparator" w:id="1">
    <w:p w:rsidR="001C48EF" w:rsidRPr="008532A3" w:rsidRDefault="001C48EF" w:rsidP="00ED10DC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8EF" w:rsidRPr="008532A3" w:rsidRDefault="001C48EF" w:rsidP="00ED10DC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footnote>
  <w:footnote w:type="continuationSeparator" w:id="1">
    <w:p w:rsidR="001C48EF" w:rsidRPr="008532A3" w:rsidRDefault="001C48EF" w:rsidP="00ED10DC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10DC"/>
    <w:rsid w:val="001C48EF"/>
    <w:rsid w:val="00ED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DC"/>
    <w:pPr>
      <w:widowControl w:val="0"/>
      <w:adjustRightInd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10DC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10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10DC"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10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>微软中国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2026-08-26T03:36:00Z</dcterms:created>
  <dcterms:modified xsi:type="dcterms:W3CDTF">2026-08-26T03:38:00Z</dcterms:modified>
</cp:coreProperties>
</file>