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6EF" w:rsidRDefault="002B46EF" w:rsidP="002B46EF">
      <w:pPr>
        <w:snapToGrid w:val="0"/>
        <w:spacing w:line="360" w:lineRule="auto"/>
        <w:ind w:firstLineChars="950" w:firstLine="3041"/>
        <w:rPr>
          <w:rFonts w:ascii="仿宋" w:eastAsia="仿宋" w:hAnsi="仿宋" w:cs="仿宋"/>
          <w:b/>
          <w:sz w:val="28"/>
          <w:szCs w:val="28"/>
        </w:rPr>
      </w:pPr>
      <w:r>
        <w:rPr>
          <w:rFonts w:ascii="仿宋" w:eastAsia="仿宋" w:hAnsi="仿宋" w:cs="仿宋" w:hint="eastAsia"/>
          <w:b/>
          <w:sz w:val="32"/>
        </w:rPr>
        <w:t>第三部分 采购需求</w:t>
      </w:r>
    </w:p>
    <w:p w:rsidR="002B46EF" w:rsidRPr="00CC6A75" w:rsidRDefault="002B46EF" w:rsidP="00CC6A75">
      <w:pPr>
        <w:widowControl/>
        <w:snapToGrid w:val="0"/>
        <w:ind w:firstLineChars="196" w:firstLine="471"/>
        <w:jc w:val="left"/>
        <w:rPr>
          <w:rFonts w:ascii="仿宋" w:eastAsia="仿宋" w:hAnsi="仿宋" w:cs="仿宋"/>
          <w:b/>
          <w:sz w:val="24"/>
        </w:rPr>
      </w:pPr>
      <w:r w:rsidRPr="00CC6A75">
        <w:rPr>
          <w:rFonts w:ascii="仿宋" w:eastAsia="仿宋" w:hAnsi="仿宋" w:cs="仿宋" w:hint="eastAsia"/>
          <w:b/>
          <w:sz w:val="24"/>
        </w:rPr>
        <w:t>1.1采购项目要求：</w:t>
      </w:r>
      <w:bookmarkStart w:id="0" w:name="_Toc344123214"/>
      <w:bookmarkStart w:id="1" w:name="_Toc380666008"/>
      <w:bookmarkStart w:id="2" w:name="_Toc364756376"/>
      <w:bookmarkStart w:id="3" w:name="_Toc344123923"/>
      <w:bookmarkStart w:id="4" w:name="_Toc344124972"/>
    </w:p>
    <w:bookmarkEnd w:id="0"/>
    <w:bookmarkEnd w:id="1"/>
    <w:bookmarkEnd w:id="2"/>
    <w:bookmarkEnd w:id="3"/>
    <w:bookmarkEnd w:id="4"/>
    <w:p w:rsidR="002B46EF" w:rsidRPr="00CC6A75" w:rsidRDefault="002B46EF" w:rsidP="00CC6A75">
      <w:pPr>
        <w:snapToGrid w:val="0"/>
        <w:ind w:firstLineChars="200" w:firstLine="480"/>
        <w:rPr>
          <w:rFonts w:ascii="仿宋" w:eastAsia="仿宋" w:hAnsi="仿宋" w:cs="仿宋"/>
          <w:bCs/>
          <w:sz w:val="24"/>
        </w:rPr>
      </w:pPr>
      <w:r w:rsidRPr="00CC6A75">
        <w:rPr>
          <w:rFonts w:ascii="仿宋" w:eastAsia="仿宋" w:hAnsi="仿宋" w:cs="仿宋" w:hint="eastAsia"/>
          <w:b/>
          <w:bCs/>
          <w:sz w:val="24"/>
        </w:rPr>
        <w:t>1.1.1</w:t>
      </w:r>
      <w:r w:rsidRPr="00CC6A75">
        <w:rPr>
          <w:rFonts w:ascii="仿宋" w:eastAsia="仿宋" w:hAnsi="仿宋" w:cs="仿宋" w:hint="eastAsia"/>
          <w:sz w:val="24"/>
        </w:rPr>
        <w:t>绍兴市中心医院下辖医共体分院健康体检检验外送服务</w:t>
      </w:r>
      <w:r w:rsidRPr="00CC6A75">
        <w:rPr>
          <w:rFonts w:ascii="仿宋" w:eastAsia="仿宋" w:hAnsi="仿宋" w:cs="仿宋" w:hint="eastAsia"/>
          <w:bCs/>
          <w:sz w:val="24"/>
        </w:rPr>
        <w:t>项目需要配备2辆检验项目运输车辆（运输各医共体成员单位检测标本）。</w:t>
      </w:r>
    </w:p>
    <w:p w:rsidR="002B46EF" w:rsidRPr="00CC6A75" w:rsidRDefault="002B46EF" w:rsidP="00CC6A75">
      <w:pPr>
        <w:snapToGrid w:val="0"/>
        <w:ind w:firstLineChars="200" w:firstLine="480"/>
        <w:rPr>
          <w:rFonts w:ascii="仿宋" w:eastAsia="仿宋" w:hAnsi="仿宋" w:cs="仿宋"/>
          <w:bCs/>
          <w:sz w:val="24"/>
        </w:rPr>
      </w:pPr>
      <w:r w:rsidRPr="00CC6A75">
        <w:rPr>
          <w:rFonts w:ascii="仿宋" w:eastAsia="仿宋" w:hAnsi="仿宋" w:cs="仿宋" w:hint="eastAsia"/>
          <w:b/>
          <w:bCs/>
          <w:sz w:val="24"/>
        </w:rPr>
        <w:t>1.1.2</w:t>
      </w:r>
      <w:r w:rsidRPr="00CC6A75">
        <w:rPr>
          <w:rFonts w:ascii="仿宋" w:eastAsia="仿宋" w:hAnsi="仿宋" w:cs="仿宋" w:hint="eastAsia"/>
          <w:sz w:val="24"/>
        </w:rPr>
        <w:t>健康体检检验外送服务</w:t>
      </w:r>
      <w:r w:rsidRPr="00CC6A75">
        <w:rPr>
          <w:rFonts w:ascii="仿宋" w:eastAsia="仿宋" w:hAnsi="仿宋" w:cs="仿宋" w:hint="eastAsia"/>
          <w:bCs/>
          <w:sz w:val="24"/>
        </w:rPr>
        <w:t>项目需提供2名标本配送人员；2名专业（医学检验资质）服务人员驻点。</w:t>
      </w:r>
    </w:p>
    <w:p w:rsidR="002B46EF" w:rsidRPr="00CC6A75" w:rsidRDefault="002B46EF" w:rsidP="00CC6A75">
      <w:pPr>
        <w:widowControl/>
        <w:snapToGrid w:val="0"/>
        <w:ind w:firstLineChars="196" w:firstLine="471"/>
        <w:jc w:val="left"/>
        <w:rPr>
          <w:rFonts w:ascii="仿宋" w:eastAsia="仿宋" w:hAnsi="仿宋" w:cs="仿宋"/>
          <w:sz w:val="24"/>
        </w:rPr>
      </w:pPr>
      <w:r w:rsidRPr="00CC6A75">
        <w:rPr>
          <w:rFonts w:ascii="仿宋" w:eastAsia="仿宋" w:hAnsi="仿宋" w:cs="仿宋" w:hint="eastAsia"/>
          <w:b/>
          <w:sz w:val="24"/>
        </w:rPr>
        <w:t>1.2标本收取及报告</w:t>
      </w:r>
    </w:p>
    <w:p w:rsidR="002B46EF" w:rsidRPr="00CC6A75" w:rsidRDefault="002B46EF" w:rsidP="00CC6A75">
      <w:pPr>
        <w:widowControl/>
        <w:snapToGrid w:val="0"/>
        <w:ind w:firstLineChars="196" w:firstLine="470"/>
        <w:jc w:val="left"/>
        <w:rPr>
          <w:rFonts w:ascii="仿宋" w:eastAsia="仿宋" w:hAnsi="仿宋" w:cs="仿宋"/>
          <w:sz w:val="24"/>
        </w:rPr>
      </w:pPr>
      <w:r w:rsidRPr="00CC6A75">
        <w:rPr>
          <w:rFonts w:ascii="仿宋" w:eastAsia="仿宋" w:hAnsi="仿宋" w:cs="仿宋" w:hint="eastAsia"/>
          <w:sz w:val="24"/>
        </w:rPr>
        <w:t>1.2.1标本需每日2次上门收取，且于24小时内发放检测报告；特殊标本可适当延长报告时间；</w:t>
      </w:r>
    </w:p>
    <w:p w:rsidR="002B46EF" w:rsidRPr="00CC6A75" w:rsidRDefault="002B46EF" w:rsidP="00CC6A75">
      <w:pPr>
        <w:widowControl/>
        <w:snapToGrid w:val="0"/>
        <w:ind w:firstLineChars="196" w:firstLine="470"/>
        <w:jc w:val="left"/>
        <w:rPr>
          <w:rFonts w:ascii="仿宋" w:eastAsia="仿宋" w:hAnsi="仿宋" w:cs="仿宋"/>
          <w:sz w:val="24"/>
        </w:rPr>
      </w:pPr>
      <w:r w:rsidRPr="00CC6A75">
        <w:rPr>
          <w:rFonts w:ascii="仿宋" w:eastAsia="仿宋" w:hAnsi="仿宋" w:cs="仿宋" w:hint="eastAsia"/>
          <w:sz w:val="24"/>
        </w:rPr>
        <w:t>▲1.2.2报告单可在网上查询，并与医院lis系统通过接口对接，进行数据交互，不得通过下载，usb拷数据等方式，相关费用由中标单位支付。</w:t>
      </w:r>
    </w:p>
    <w:p w:rsidR="002B46EF" w:rsidRPr="00CC6A75" w:rsidRDefault="002B46EF" w:rsidP="00CC6A75">
      <w:pPr>
        <w:snapToGrid w:val="0"/>
        <w:ind w:firstLineChars="196" w:firstLine="471"/>
        <w:rPr>
          <w:rFonts w:ascii="仿宋" w:eastAsia="仿宋" w:hAnsi="仿宋" w:cs="仿宋"/>
          <w:sz w:val="24"/>
        </w:rPr>
      </w:pPr>
      <w:r w:rsidRPr="00CC6A75">
        <w:rPr>
          <w:rFonts w:ascii="仿宋" w:eastAsia="仿宋" w:hAnsi="仿宋" w:cs="仿宋" w:hint="eastAsia"/>
          <w:b/>
          <w:sz w:val="24"/>
        </w:rPr>
        <w:t>1.3运输冷链系统要求</w:t>
      </w:r>
    </w:p>
    <w:p w:rsidR="002B46EF" w:rsidRPr="00CC6A75" w:rsidRDefault="002B46EF" w:rsidP="00CC6A75">
      <w:pPr>
        <w:snapToGrid w:val="0"/>
        <w:ind w:firstLineChars="200" w:firstLine="480"/>
        <w:rPr>
          <w:rFonts w:ascii="仿宋" w:eastAsia="仿宋" w:hAnsi="仿宋" w:cs="仿宋"/>
          <w:sz w:val="24"/>
        </w:rPr>
      </w:pPr>
      <w:r w:rsidRPr="00CC6A75">
        <w:rPr>
          <w:rFonts w:ascii="仿宋" w:eastAsia="仿宋" w:hAnsi="仿宋" w:cs="仿宋" w:hint="eastAsia"/>
          <w:sz w:val="24"/>
        </w:rPr>
        <w:t>▲1.3.1 所有样本的运送必须符合样本温度的管理要求，采用相应的冷链运输技术，特殊标本运输过程中需干冰冻存。</w:t>
      </w:r>
    </w:p>
    <w:p w:rsidR="002B46EF" w:rsidRPr="00CC6A75" w:rsidRDefault="002B46EF" w:rsidP="00CC6A75">
      <w:pPr>
        <w:snapToGrid w:val="0"/>
        <w:ind w:firstLineChars="200" w:firstLine="480"/>
        <w:rPr>
          <w:rFonts w:ascii="仿宋" w:eastAsia="仿宋" w:hAnsi="仿宋" w:cs="仿宋"/>
          <w:sz w:val="24"/>
        </w:rPr>
      </w:pPr>
      <w:r w:rsidRPr="00CC6A75">
        <w:rPr>
          <w:rFonts w:ascii="仿宋" w:eastAsia="仿宋" w:hAnsi="仿宋" w:cs="仿宋" w:hint="eastAsia"/>
          <w:sz w:val="24"/>
        </w:rPr>
        <w:t>1.3.2所有样本运送必须采用符合相关标准的冷链物流车或转送车辆及冷链物流箱，冷链物流车或转送车辆及冷链物流箱配备数量满足标本转送要求。</w:t>
      </w:r>
    </w:p>
    <w:p w:rsidR="002B46EF" w:rsidRPr="00CC6A75" w:rsidRDefault="002B46EF" w:rsidP="00CC6A75">
      <w:pPr>
        <w:snapToGrid w:val="0"/>
        <w:ind w:firstLineChars="200" w:firstLine="480"/>
        <w:rPr>
          <w:rFonts w:ascii="仿宋" w:eastAsia="仿宋" w:hAnsi="仿宋" w:cs="仿宋"/>
          <w:sz w:val="24"/>
        </w:rPr>
      </w:pPr>
      <w:r w:rsidRPr="00CC6A75">
        <w:rPr>
          <w:rFonts w:ascii="仿宋" w:eastAsia="仿宋" w:hAnsi="仿宋" w:cs="仿宋" w:hint="eastAsia"/>
          <w:sz w:val="24"/>
        </w:rPr>
        <w:t>1.3.3提供可实时监控物流各个环节的温度的系统和终端设备，能够对物流的全程进行温度监控、报警及记录，能够对整个过程进行溯源管理，并能够提交相关记录的纸质文档，以留档备查。一年3次以上无法进行运送温度溯源，招标人有权终止合同，并追究相关损失。</w:t>
      </w:r>
    </w:p>
    <w:p w:rsidR="002B46EF" w:rsidRPr="00CC6A75" w:rsidRDefault="002B46EF" w:rsidP="00CC6A75">
      <w:pPr>
        <w:snapToGrid w:val="0"/>
        <w:ind w:firstLineChars="196" w:firstLine="471"/>
        <w:rPr>
          <w:rFonts w:ascii="仿宋" w:eastAsia="仿宋" w:hAnsi="仿宋" w:cs="仿宋"/>
          <w:b/>
          <w:sz w:val="24"/>
        </w:rPr>
      </w:pPr>
      <w:r w:rsidRPr="00CC6A75">
        <w:rPr>
          <w:rFonts w:ascii="仿宋" w:eastAsia="仿宋" w:hAnsi="仿宋" w:cs="仿宋" w:hint="eastAsia"/>
          <w:b/>
          <w:sz w:val="24"/>
        </w:rPr>
        <w:t>1.4标本安全管理</w:t>
      </w:r>
      <w:r w:rsidRPr="00CC6A75">
        <w:rPr>
          <w:rFonts w:ascii="仿宋" w:eastAsia="仿宋" w:hAnsi="仿宋" w:cs="仿宋" w:hint="eastAsia"/>
          <w:sz w:val="24"/>
        </w:rPr>
        <w:t>：样本交接及运送过程必须符合样本的安全管理要求，符合《病原微生物实验室生物安全管理条例》、《可感染人类的高致病性病原微生物菌（毒）种或样本运输管理规定》、《浙江省病原微生物实验室生物安全管理办法（试行）》等相关法律法规规章涉及的生物安全规定。</w:t>
      </w:r>
    </w:p>
    <w:p w:rsidR="002B46EF" w:rsidRPr="00CC6A75" w:rsidRDefault="002B46EF" w:rsidP="00CC6A75">
      <w:pPr>
        <w:snapToGrid w:val="0"/>
        <w:ind w:firstLineChars="196" w:firstLine="471"/>
        <w:rPr>
          <w:rFonts w:ascii="仿宋" w:eastAsia="仿宋" w:hAnsi="仿宋" w:cs="仿宋"/>
          <w:b/>
          <w:sz w:val="24"/>
        </w:rPr>
      </w:pPr>
      <w:r w:rsidRPr="00CC6A75">
        <w:rPr>
          <w:rFonts w:ascii="仿宋" w:eastAsia="仿宋" w:hAnsi="仿宋" w:cs="仿宋" w:hint="eastAsia"/>
          <w:b/>
          <w:sz w:val="24"/>
        </w:rPr>
        <w:t>1.5标本运输要求：</w:t>
      </w:r>
      <w:r w:rsidRPr="00CC6A75">
        <w:rPr>
          <w:rFonts w:ascii="仿宋" w:eastAsia="仿宋" w:hAnsi="仿宋" w:cs="仿宋" w:hint="eastAsia"/>
          <w:sz w:val="24"/>
        </w:rPr>
        <w:t>运输车辆拥有运输标本专业设备如生物安全转运箱，并装有处置生物安全应急事件的应急箱及消毒用喷壶,可以应对突发生物安全事件的现场处置。</w:t>
      </w:r>
    </w:p>
    <w:p w:rsidR="002B46EF" w:rsidRPr="00CC6A75" w:rsidRDefault="002B46EF" w:rsidP="00CC6A75">
      <w:pPr>
        <w:ind w:firstLineChars="196" w:firstLine="470"/>
        <w:rPr>
          <w:rFonts w:ascii="仿宋" w:eastAsia="仿宋" w:hAnsi="仿宋" w:cs="仿宋"/>
          <w:b/>
          <w:bCs/>
          <w:sz w:val="24"/>
        </w:rPr>
      </w:pPr>
      <w:r w:rsidRPr="00CC6A75">
        <w:rPr>
          <w:rFonts w:ascii="仿宋" w:eastAsia="仿宋" w:hAnsi="仿宋" w:cs="仿宋" w:hint="eastAsia"/>
          <w:sz w:val="24"/>
        </w:rPr>
        <w:t>▲</w:t>
      </w:r>
      <w:r w:rsidRPr="00CC6A75">
        <w:rPr>
          <w:rFonts w:ascii="仿宋" w:eastAsia="仿宋" w:hAnsi="仿宋" w:cs="仿宋" w:hint="eastAsia"/>
          <w:b/>
          <w:bCs/>
          <w:sz w:val="24"/>
        </w:rPr>
        <w:t>1.6检测项目清单：</w:t>
      </w:r>
      <w:r w:rsidRPr="00CC6A75">
        <w:rPr>
          <w:rFonts w:ascii="仿宋" w:eastAsia="仿宋" w:hAnsi="仿宋" w:cs="仿宋" w:hint="eastAsia"/>
          <w:sz w:val="24"/>
        </w:rPr>
        <w:t>投标人能满足以下相关项目检测要求（以开展项目清单或项目手册为准）。</w:t>
      </w:r>
    </w:p>
    <w:p w:rsidR="002B46EF" w:rsidRPr="00CC6A75" w:rsidRDefault="002B46EF" w:rsidP="00CC6A75">
      <w:pPr>
        <w:rPr>
          <w:szCs w:val="21"/>
        </w:rPr>
      </w:pPr>
      <w:r w:rsidRPr="00CC6A75">
        <w:rPr>
          <w:rFonts w:ascii="仿宋" w:eastAsia="仿宋" w:hAnsi="仿宋" w:cs="仿宋" w:hint="eastAsia"/>
          <w:szCs w:val="21"/>
        </w:rPr>
        <w:t>▲</w:t>
      </w:r>
      <w:r w:rsidRPr="00CC6A75">
        <w:rPr>
          <w:rFonts w:hint="eastAsia"/>
          <w:b/>
          <w:bCs/>
          <w:szCs w:val="21"/>
        </w:rPr>
        <w:t>附：送检项目及检测方法要求</w:t>
      </w:r>
    </w:p>
    <w:tbl>
      <w:tblPr>
        <w:tblW w:w="6920" w:type="dxa"/>
        <w:tblInd w:w="113" w:type="dxa"/>
        <w:tblLook w:val="0000"/>
      </w:tblPr>
      <w:tblGrid>
        <w:gridCol w:w="3740"/>
        <w:gridCol w:w="3180"/>
      </w:tblGrid>
      <w:tr w:rsidR="002B46EF" w:rsidRPr="00CC6A75" w:rsidTr="00A05E60">
        <w:trPr>
          <w:trHeight w:val="280"/>
        </w:trPr>
        <w:tc>
          <w:tcPr>
            <w:tcW w:w="3740" w:type="dxa"/>
            <w:tcBorders>
              <w:top w:val="single" w:sz="4" w:space="0" w:color="auto"/>
              <w:left w:val="single" w:sz="4" w:space="0" w:color="auto"/>
              <w:bottom w:val="single" w:sz="4" w:space="0" w:color="auto"/>
              <w:right w:val="single" w:sz="4" w:space="0" w:color="auto"/>
            </w:tcBorders>
            <w:shd w:val="clear" w:color="000000" w:fill="000000"/>
            <w:noWrap/>
            <w:vAlign w:val="center"/>
          </w:tcPr>
          <w:p w:rsidR="002B46EF" w:rsidRPr="00CC6A75" w:rsidRDefault="002B46EF" w:rsidP="00CC6A75">
            <w:pPr>
              <w:widowControl/>
              <w:adjustRightInd/>
              <w:jc w:val="center"/>
              <w:rPr>
                <w:rFonts w:ascii="宋体" w:hAnsi="宋体" w:cs="宋体"/>
                <w:kern w:val="0"/>
                <w:szCs w:val="21"/>
              </w:rPr>
            </w:pPr>
            <w:r w:rsidRPr="00CC6A75">
              <w:rPr>
                <w:rFonts w:ascii="宋体" w:hAnsi="宋体" w:cs="宋体" w:hint="eastAsia"/>
                <w:kern w:val="0"/>
                <w:szCs w:val="21"/>
              </w:rPr>
              <w:t>项目名称</w:t>
            </w:r>
          </w:p>
        </w:tc>
        <w:tc>
          <w:tcPr>
            <w:tcW w:w="3180" w:type="dxa"/>
            <w:tcBorders>
              <w:top w:val="single" w:sz="4" w:space="0" w:color="auto"/>
              <w:left w:val="nil"/>
              <w:bottom w:val="single" w:sz="4" w:space="0" w:color="auto"/>
              <w:right w:val="single" w:sz="4" w:space="0" w:color="auto"/>
            </w:tcBorders>
            <w:shd w:val="clear" w:color="000000" w:fill="000000"/>
            <w:noWrap/>
            <w:vAlign w:val="center"/>
          </w:tcPr>
          <w:p w:rsidR="002B46EF" w:rsidRPr="00CC6A75" w:rsidRDefault="002B46EF" w:rsidP="00CC6A75">
            <w:pPr>
              <w:widowControl/>
              <w:adjustRightInd/>
              <w:jc w:val="center"/>
              <w:rPr>
                <w:rFonts w:ascii="宋体" w:hAnsi="宋体" w:cs="宋体"/>
                <w:kern w:val="0"/>
                <w:szCs w:val="21"/>
              </w:rPr>
            </w:pPr>
            <w:r w:rsidRPr="00CC6A75">
              <w:rPr>
                <w:rFonts w:ascii="宋体" w:hAnsi="宋体" w:cs="宋体" w:hint="eastAsia"/>
                <w:kern w:val="0"/>
                <w:szCs w:val="21"/>
              </w:rPr>
              <w:t>检测方法学</w:t>
            </w:r>
          </w:p>
        </w:tc>
      </w:tr>
      <w:tr w:rsidR="002B46EF" w:rsidRPr="00CC6A75" w:rsidTr="00A05E60">
        <w:trPr>
          <w:trHeight w:val="300"/>
        </w:trPr>
        <w:tc>
          <w:tcPr>
            <w:tcW w:w="3740" w:type="dxa"/>
            <w:tcBorders>
              <w:top w:val="nil"/>
              <w:left w:val="single" w:sz="4" w:space="0" w:color="auto"/>
              <w:bottom w:val="single" w:sz="4" w:space="0" w:color="auto"/>
              <w:right w:val="single" w:sz="4" w:space="0" w:color="auto"/>
            </w:tcBorders>
            <w:noWrap/>
            <w:vAlign w:val="center"/>
          </w:tcPr>
          <w:p w:rsidR="002B46EF" w:rsidRPr="00CC6A75" w:rsidRDefault="002B46EF" w:rsidP="00CC6A75">
            <w:pPr>
              <w:widowControl/>
              <w:adjustRightInd/>
              <w:jc w:val="center"/>
              <w:rPr>
                <w:rFonts w:ascii="宋体" w:hAnsi="宋体" w:cs="宋体"/>
                <w:kern w:val="0"/>
                <w:szCs w:val="21"/>
              </w:rPr>
            </w:pPr>
            <w:r w:rsidRPr="00CC6A75">
              <w:rPr>
                <w:rFonts w:ascii="宋体" w:hAnsi="宋体" w:cs="宋体" w:hint="eastAsia"/>
                <w:kern w:val="0"/>
                <w:szCs w:val="21"/>
              </w:rPr>
              <w:lastRenderedPageBreak/>
              <w:t>甲胎蛋白</w:t>
            </w:r>
          </w:p>
        </w:tc>
        <w:tc>
          <w:tcPr>
            <w:tcW w:w="3180" w:type="dxa"/>
            <w:tcBorders>
              <w:top w:val="nil"/>
              <w:left w:val="nil"/>
              <w:bottom w:val="single" w:sz="4" w:space="0" w:color="auto"/>
              <w:right w:val="single" w:sz="4" w:space="0" w:color="auto"/>
            </w:tcBorders>
            <w:noWrap/>
            <w:vAlign w:val="center"/>
          </w:tcPr>
          <w:p w:rsidR="002B46EF" w:rsidRPr="00CC6A75" w:rsidRDefault="002B46EF" w:rsidP="00CC6A75">
            <w:pPr>
              <w:widowControl/>
              <w:adjustRightInd/>
              <w:jc w:val="center"/>
              <w:rPr>
                <w:rFonts w:ascii="宋体" w:hAnsi="宋体" w:cs="宋体"/>
                <w:kern w:val="0"/>
                <w:szCs w:val="21"/>
              </w:rPr>
            </w:pPr>
            <w:r w:rsidRPr="00CC6A75">
              <w:rPr>
                <w:rFonts w:ascii="宋体" w:hAnsi="宋体" w:cs="宋体" w:hint="eastAsia"/>
                <w:kern w:val="0"/>
                <w:szCs w:val="21"/>
              </w:rPr>
              <w:t>化学发光法</w:t>
            </w:r>
          </w:p>
        </w:tc>
      </w:tr>
      <w:tr w:rsidR="002B46EF" w:rsidRPr="00CC6A75" w:rsidTr="00A05E60">
        <w:trPr>
          <w:trHeight w:val="300"/>
        </w:trPr>
        <w:tc>
          <w:tcPr>
            <w:tcW w:w="3740" w:type="dxa"/>
            <w:tcBorders>
              <w:top w:val="nil"/>
              <w:left w:val="single" w:sz="4" w:space="0" w:color="auto"/>
              <w:bottom w:val="single" w:sz="4" w:space="0" w:color="auto"/>
              <w:right w:val="single" w:sz="4" w:space="0" w:color="auto"/>
            </w:tcBorders>
            <w:noWrap/>
            <w:vAlign w:val="center"/>
          </w:tcPr>
          <w:p w:rsidR="002B46EF" w:rsidRPr="00CC6A75" w:rsidRDefault="002B46EF" w:rsidP="00CC6A75">
            <w:pPr>
              <w:widowControl/>
              <w:adjustRightInd/>
              <w:jc w:val="center"/>
              <w:rPr>
                <w:rFonts w:ascii="宋体" w:hAnsi="宋体" w:cs="宋体"/>
                <w:kern w:val="0"/>
                <w:szCs w:val="21"/>
              </w:rPr>
            </w:pPr>
            <w:r w:rsidRPr="00CC6A75">
              <w:rPr>
                <w:rFonts w:ascii="宋体" w:hAnsi="宋体" w:cs="宋体" w:hint="eastAsia"/>
                <w:kern w:val="0"/>
                <w:szCs w:val="21"/>
              </w:rPr>
              <w:t>癌胚抗原</w:t>
            </w:r>
          </w:p>
        </w:tc>
        <w:tc>
          <w:tcPr>
            <w:tcW w:w="3180" w:type="dxa"/>
            <w:tcBorders>
              <w:top w:val="nil"/>
              <w:left w:val="nil"/>
              <w:bottom w:val="single" w:sz="4" w:space="0" w:color="auto"/>
              <w:right w:val="single" w:sz="4" w:space="0" w:color="auto"/>
            </w:tcBorders>
            <w:noWrap/>
            <w:vAlign w:val="center"/>
          </w:tcPr>
          <w:p w:rsidR="002B46EF" w:rsidRPr="00CC6A75" w:rsidRDefault="002B46EF" w:rsidP="00CC6A75">
            <w:pPr>
              <w:widowControl/>
              <w:adjustRightInd/>
              <w:jc w:val="center"/>
              <w:rPr>
                <w:rFonts w:ascii="宋体" w:hAnsi="宋体" w:cs="宋体"/>
                <w:kern w:val="0"/>
                <w:szCs w:val="21"/>
              </w:rPr>
            </w:pPr>
            <w:r w:rsidRPr="00CC6A75">
              <w:rPr>
                <w:rFonts w:ascii="宋体" w:hAnsi="宋体" w:cs="宋体" w:hint="eastAsia"/>
                <w:kern w:val="0"/>
                <w:szCs w:val="21"/>
              </w:rPr>
              <w:t>化学发光法</w:t>
            </w:r>
          </w:p>
        </w:tc>
      </w:tr>
      <w:tr w:rsidR="002B46EF" w:rsidRPr="00CC6A75" w:rsidTr="00A05E60">
        <w:trPr>
          <w:trHeight w:val="300"/>
        </w:trPr>
        <w:tc>
          <w:tcPr>
            <w:tcW w:w="3740" w:type="dxa"/>
            <w:tcBorders>
              <w:top w:val="nil"/>
              <w:left w:val="single" w:sz="4" w:space="0" w:color="auto"/>
              <w:bottom w:val="single" w:sz="4" w:space="0" w:color="auto"/>
              <w:right w:val="single" w:sz="4" w:space="0" w:color="auto"/>
            </w:tcBorders>
            <w:noWrap/>
            <w:vAlign w:val="center"/>
          </w:tcPr>
          <w:p w:rsidR="002B46EF" w:rsidRPr="00CC6A75" w:rsidRDefault="002B46EF" w:rsidP="00CC6A75">
            <w:pPr>
              <w:widowControl/>
              <w:adjustRightInd/>
              <w:jc w:val="center"/>
              <w:rPr>
                <w:rFonts w:ascii="宋体" w:hAnsi="宋体" w:cs="宋体"/>
                <w:kern w:val="0"/>
                <w:szCs w:val="21"/>
              </w:rPr>
            </w:pPr>
            <w:r w:rsidRPr="00CC6A75">
              <w:rPr>
                <w:rFonts w:ascii="宋体" w:hAnsi="宋体" w:cs="宋体" w:hint="eastAsia"/>
                <w:kern w:val="0"/>
                <w:szCs w:val="21"/>
              </w:rPr>
              <w:t>总前列腺特异性抗原</w:t>
            </w:r>
          </w:p>
        </w:tc>
        <w:tc>
          <w:tcPr>
            <w:tcW w:w="3180" w:type="dxa"/>
            <w:tcBorders>
              <w:top w:val="nil"/>
              <w:left w:val="nil"/>
              <w:bottom w:val="single" w:sz="4" w:space="0" w:color="auto"/>
              <w:right w:val="single" w:sz="4" w:space="0" w:color="auto"/>
            </w:tcBorders>
            <w:noWrap/>
            <w:vAlign w:val="center"/>
          </w:tcPr>
          <w:p w:rsidR="002B46EF" w:rsidRPr="00CC6A75" w:rsidRDefault="002B46EF" w:rsidP="00CC6A75">
            <w:pPr>
              <w:widowControl/>
              <w:adjustRightInd/>
              <w:jc w:val="center"/>
              <w:rPr>
                <w:rFonts w:ascii="宋体" w:hAnsi="宋体" w:cs="宋体"/>
                <w:kern w:val="0"/>
                <w:szCs w:val="21"/>
              </w:rPr>
            </w:pPr>
            <w:r w:rsidRPr="00CC6A75">
              <w:rPr>
                <w:rFonts w:ascii="宋体" w:hAnsi="宋体" w:cs="宋体" w:hint="eastAsia"/>
                <w:kern w:val="0"/>
                <w:szCs w:val="21"/>
              </w:rPr>
              <w:t>化学发光法</w:t>
            </w:r>
          </w:p>
        </w:tc>
      </w:tr>
      <w:tr w:rsidR="002B46EF" w:rsidRPr="00CC6A75" w:rsidTr="00A05E60">
        <w:trPr>
          <w:trHeight w:val="300"/>
        </w:trPr>
        <w:tc>
          <w:tcPr>
            <w:tcW w:w="3740" w:type="dxa"/>
            <w:tcBorders>
              <w:top w:val="nil"/>
              <w:left w:val="single" w:sz="4" w:space="0" w:color="auto"/>
              <w:bottom w:val="single" w:sz="4" w:space="0" w:color="auto"/>
              <w:right w:val="single" w:sz="4" w:space="0" w:color="auto"/>
            </w:tcBorders>
            <w:noWrap/>
            <w:vAlign w:val="center"/>
          </w:tcPr>
          <w:p w:rsidR="002B46EF" w:rsidRPr="00CC6A75" w:rsidRDefault="002B46EF" w:rsidP="00CC6A75">
            <w:pPr>
              <w:widowControl/>
              <w:adjustRightInd/>
              <w:jc w:val="center"/>
              <w:rPr>
                <w:rFonts w:ascii="宋体" w:hAnsi="宋体" w:cs="宋体"/>
                <w:kern w:val="0"/>
                <w:szCs w:val="21"/>
              </w:rPr>
            </w:pPr>
            <w:r w:rsidRPr="00CC6A75">
              <w:rPr>
                <w:rFonts w:ascii="宋体" w:hAnsi="宋体" w:cs="宋体" w:hint="eastAsia"/>
                <w:kern w:val="0"/>
                <w:szCs w:val="21"/>
              </w:rPr>
              <w:t>糖化血红蛋白</w:t>
            </w:r>
          </w:p>
        </w:tc>
        <w:tc>
          <w:tcPr>
            <w:tcW w:w="3180" w:type="dxa"/>
            <w:tcBorders>
              <w:top w:val="nil"/>
              <w:left w:val="nil"/>
              <w:bottom w:val="single" w:sz="4" w:space="0" w:color="auto"/>
              <w:right w:val="single" w:sz="4" w:space="0" w:color="auto"/>
            </w:tcBorders>
            <w:noWrap/>
            <w:vAlign w:val="center"/>
          </w:tcPr>
          <w:p w:rsidR="002B46EF" w:rsidRPr="00CC6A75" w:rsidRDefault="002B46EF" w:rsidP="00CC6A75">
            <w:pPr>
              <w:widowControl/>
              <w:adjustRightInd/>
              <w:jc w:val="center"/>
              <w:rPr>
                <w:rFonts w:ascii="宋体" w:hAnsi="宋体" w:cs="宋体"/>
                <w:kern w:val="0"/>
                <w:szCs w:val="21"/>
              </w:rPr>
            </w:pPr>
            <w:r w:rsidRPr="00CC6A75">
              <w:rPr>
                <w:rFonts w:ascii="宋体" w:hAnsi="宋体" w:cs="宋体" w:hint="eastAsia"/>
                <w:kern w:val="0"/>
                <w:szCs w:val="21"/>
              </w:rPr>
              <w:t>高效液相法</w:t>
            </w:r>
          </w:p>
        </w:tc>
      </w:tr>
      <w:tr w:rsidR="002B46EF" w:rsidRPr="00CC6A75" w:rsidTr="00A05E60">
        <w:trPr>
          <w:trHeight w:val="300"/>
        </w:trPr>
        <w:tc>
          <w:tcPr>
            <w:tcW w:w="3740" w:type="dxa"/>
            <w:tcBorders>
              <w:top w:val="nil"/>
              <w:left w:val="single" w:sz="4" w:space="0" w:color="auto"/>
              <w:bottom w:val="single" w:sz="4" w:space="0" w:color="auto"/>
              <w:right w:val="single" w:sz="4" w:space="0" w:color="auto"/>
            </w:tcBorders>
            <w:noWrap/>
            <w:vAlign w:val="center"/>
          </w:tcPr>
          <w:p w:rsidR="002B46EF" w:rsidRPr="00CC6A75" w:rsidRDefault="002B46EF" w:rsidP="00CC6A75">
            <w:pPr>
              <w:widowControl/>
              <w:adjustRightInd/>
              <w:jc w:val="center"/>
              <w:rPr>
                <w:rFonts w:ascii="宋体" w:hAnsi="宋体" w:cs="宋体"/>
                <w:kern w:val="0"/>
                <w:szCs w:val="21"/>
              </w:rPr>
            </w:pPr>
            <w:r w:rsidRPr="00CC6A75">
              <w:rPr>
                <w:rFonts w:ascii="宋体" w:hAnsi="宋体" w:cs="宋体" w:hint="eastAsia"/>
                <w:kern w:val="0"/>
                <w:szCs w:val="21"/>
              </w:rPr>
              <w:t>人体免疫缺陷病毒抗体</w:t>
            </w:r>
          </w:p>
        </w:tc>
        <w:tc>
          <w:tcPr>
            <w:tcW w:w="3180" w:type="dxa"/>
            <w:tcBorders>
              <w:top w:val="nil"/>
              <w:left w:val="nil"/>
              <w:bottom w:val="single" w:sz="4" w:space="0" w:color="auto"/>
              <w:right w:val="single" w:sz="4" w:space="0" w:color="auto"/>
            </w:tcBorders>
            <w:noWrap/>
            <w:vAlign w:val="center"/>
          </w:tcPr>
          <w:p w:rsidR="002B46EF" w:rsidRPr="00CC6A75" w:rsidRDefault="002B46EF" w:rsidP="00CC6A75">
            <w:pPr>
              <w:widowControl/>
              <w:adjustRightInd/>
              <w:jc w:val="center"/>
              <w:rPr>
                <w:rFonts w:ascii="宋体" w:hAnsi="宋体" w:cs="宋体"/>
                <w:kern w:val="0"/>
                <w:szCs w:val="21"/>
              </w:rPr>
            </w:pPr>
            <w:r w:rsidRPr="00CC6A75">
              <w:rPr>
                <w:rFonts w:ascii="宋体" w:hAnsi="宋体" w:cs="宋体" w:hint="eastAsia"/>
                <w:kern w:val="0"/>
                <w:szCs w:val="21"/>
              </w:rPr>
              <w:t>化学发光法</w:t>
            </w:r>
          </w:p>
        </w:tc>
      </w:tr>
      <w:tr w:rsidR="002B46EF" w:rsidRPr="00CC6A75" w:rsidTr="00A05E60">
        <w:trPr>
          <w:trHeight w:val="300"/>
        </w:trPr>
        <w:tc>
          <w:tcPr>
            <w:tcW w:w="3740" w:type="dxa"/>
            <w:tcBorders>
              <w:top w:val="nil"/>
              <w:left w:val="single" w:sz="4" w:space="0" w:color="auto"/>
              <w:bottom w:val="single" w:sz="4" w:space="0" w:color="auto"/>
              <w:right w:val="single" w:sz="4" w:space="0" w:color="auto"/>
            </w:tcBorders>
            <w:noWrap/>
            <w:vAlign w:val="center"/>
          </w:tcPr>
          <w:p w:rsidR="002B46EF" w:rsidRPr="00CC6A75" w:rsidRDefault="002B46EF" w:rsidP="00CC6A75">
            <w:pPr>
              <w:widowControl/>
              <w:adjustRightInd/>
              <w:jc w:val="center"/>
              <w:rPr>
                <w:rFonts w:ascii="宋体" w:hAnsi="宋体" w:cs="宋体"/>
                <w:kern w:val="0"/>
                <w:szCs w:val="21"/>
              </w:rPr>
            </w:pPr>
            <w:r w:rsidRPr="00CC6A75">
              <w:rPr>
                <w:rFonts w:ascii="宋体" w:hAnsi="宋体" w:cs="宋体" w:hint="eastAsia"/>
                <w:kern w:val="0"/>
                <w:szCs w:val="21"/>
              </w:rPr>
              <w:t>鳞状细胞癌相差抗原</w:t>
            </w:r>
          </w:p>
        </w:tc>
        <w:tc>
          <w:tcPr>
            <w:tcW w:w="3180" w:type="dxa"/>
            <w:tcBorders>
              <w:top w:val="nil"/>
              <w:left w:val="nil"/>
              <w:bottom w:val="single" w:sz="4" w:space="0" w:color="auto"/>
              <w:right w:val="single" w:sz="4" w:space="0" w:color="auto"/>
            </w:tcBorders>
            <w:noWrap/>
            <w:vAlign w:val="center"/>
          </w:tcPr>
          <w:p w:rsidR="002B46EF" w:rsidRPr="00CC6A75" w:rsidRDefault="002B46EF" w:rsidP="00CC6A75">
            <w:pPr>
              <w:widowControl/>
              <w:adjustRightInd/>
              <w:jc w:val="center"/>
              <w:rPr>
                <w:rFonts w:ascii="宋体" w:hAnsi="宋体" w:cs="宋体"/>
                <w:kern w:val="0"/>
                <w:szCs w:val="21"/>
              </w:rPr>
            </w:pPr>
            <w:r w:rsidRPr="00CC6A75">
              <w:rPr>
                <w:rFonts w:ascii="宋体" w:hAnsi="宋体" w:cs="宋体" w:hint="eastAsia"/>
                <w:kern w:val="0"/>
                <w:szCs w:val="21"/>
              </w:rPr>
              <w:t>化学发光法</w:t>
            </w:r>
          </w:p>
        </w:tc>
      </w:tr>
      <w:tr w:rsidR="002B46EF" w:rsidRPr="00CC6A75" w:rsidTr="00A05E60">
        <w:trPr>
          <w:trHeight w:val="300"/>
        </w:trPr>
        <w:tc>
          <w:tcPr>
            <w:tcW w:w="3740" w:type="dxa"/>
            <w:tcBorders>
              <w:top w:val="nil"/>
              <w:left w:val="single" w:sz="4" w:space="0" w:color="auto"/>
              <w:bottom w:val="single" w:sz="4" w:space="0" w:color="auto"/>
              <w:right w:val="single" w:sz="4" w:space="0" w:color="auto"/>
            </w:tcBorders>
            <w:noWrap/>
            <w:vAlign w:val="center"/>
          </w:tcPr>
          <w:p w:rsidR="002B46EF" w:rsidRPr="00CC6A75" w:rsidRDefault="002B46EF" w:rsidP="00CC6A75">
            <w:pPr>
              <w:widowControl/>
              <w:adjustRightInd/>
              <w:jc w:val="center"/>
              <w:rPr>
                <w:rFonts w:ascii="宋体" w:hAnsi="宋体" w:cs="宋体"/>
                <w:kern w:val="0"/>
                <w:szCs w:val="21"/>
              </w:rPr>
            </w:pPr>
            <w:r w:rsidRPr="00CC6A75">
              <w:rPr>
                <w:rFonts w:ascii="宋体" w:hAnsi="宋体" w:cs="宋体" w:hint="eastAsia"/>
                <w:kern w:val="0"/>
                <w:szCs w:val="21"/>
              </w:rPr>
              <w:t>游离前列腺特异性抗原</w:t>
            </w:r>
          </w:p>
        </w:tc>
        <w:tc>
          <w:tcPr>
            <w:tcW w:w="3180" w:type="dxa"/>
            <w:tcBorders>
              <w:top w:val="nil"/>
              <w:left w:val="nil"/>
              <w:bottom w:val="single" w:sz="4" w:space="0" w:color="auto"/>
              <w:right w:val="single" w:sz="4" w:space="0" w:color="auto"/>
            </w:tcBorders>
            <w:noWrap/>
            <w:vAlign w:val="center"/>
          </w:tcPr>
          <w:p w:rsidR="002B46EF" w:rsidRPr="00CC6A75" w:rsidRDefault="002B46EF" w:rsidP="00CC6A75">
            <w:pPr>
              <w:widowControl/>
              <w:adjustRightInd/>
              <w:jc w:val="center"/>
              <w:rPr>
                <w:rFonts w:ascii="宋体" w:hAnsi="宋体" w:cs="宋体"/>
                <w:kern w:val="0"/>
                <w:szCs w:val="21"/>
              </w:rPr>
            </w:pPr>
            <w:r w:rsidRPr="00CC6A75">
              <w:rPr>
                <w:rFonts w:ascii="宋体" w:hAnsi="宋体" w:cs="宋体" w:hint="eastAsia"/>
                <w:kern w:val="0"/>
                <w:szCs w:val="21"/>
              </w:rPr>
              <w:t>化学发光法</w:t>
            </w:r>
          </w:p>
        </w:tc>
      </w:tr>
      <w:tr w:rsidR="002B46EF" w:rsidRPr="00CC6A75" w:rsidTr="00A05E60">
        <w:trPr>
          <w:trHeight w:val="300"/>
        </w:trPr>
        <w:tc>
          <w:tcPr>
            <w:tcW w:w="3740" w:type="dxa"/>
            <w:tcBorders>
              <w:top w:val="nil"/>
              <w:left w:val="single" w:sz="4" w:space="0" w:color="auto"/>
              <w:bottom w:val="single" w:sz="4" w:space="0" w:color="auto"/>
              <w:right w:val="single" w:sz="4" w:space="0" w:color="auto"/>
            </w:tcBorders>
            <w:noWrap/>
            <w:vAlign w:val="center"/>
          </w:tcPr>
          <w:p w:rsidR="002B46EF" w:rsidRPr="00CC6A75" w:rsidRDefault="002B46EF" w:rsidP="00CC6A75">
            <w:pPr>
              <w:widowControl/>
              <w:adjustRightInd/>
              <w:jc w:val="center"/>
              <w:rPr>
                <w:rFonts w:ascii="宋体" w:hAnsi="宋体" w:cs="宋体"/>
                <w:kern w:val="0"/>
                <w:szCs w:val="21"/>
              </w:rPr>
            </w:pPr>
            <w:r w:rsidRPr="00CC6A75">
              <w:rPr>
                <w:rFonts w:ascii="宋体" w:hAnsi="宋体" w:cs="宋体" w:hint="eastAsia"/>
                <w:kern w:val="0"/>
                <w:szCs w:val="21"/>
              </w:rPr>
              <w:t>细胞角蛋白 19 片段</w:t>
            </w:r>
          </w:p>
        </w:tc>
        <w:tc>
          <w:tcPr>
            <w:tcW w:w="3180" w:type="dxa"/>
            <w:tcBorders>
              <w:top w:val="nil"/>
              <w:left w:val="nil"/>
              <w:bottom w:val="single" w:sz="4" w:space="0" w:color="auto"/>
              <w:right w:val="single" w:sz="4" w:space="0" w:color="auto"/>
            </w:tcBorders>
            <w:noWrap/>
            <w:vAlign w:val="center"/>
          </w:tcPr>
          <w:p w:rsidR="002B46EF" w:rsidRPr="00CC6A75" w:rsidRDefault="002B46EF" w:rsidP="00CC6A75">
            <w:pPr>
              <w:widowControl/>
              <w:adjustRightInd/>
              <w:jc w:val="center"/>
              <w:rPr>
                <w:rFonts w:ascii="宋体" w:hAnsi="宋体" w:cs="宋体"/>
                <w:kern w:val="0"/>
                <w:szCs w:val="21"/>
              </w:rPr>
            </w:pPr>
            <w:r w:rsidRPr="00CC6A75">
              <w:rPr>
                <w:rFonts w:ascii="宋体" w:hAnsi="宋体" w:cs="宋体" w:hint="eastAsia"/>
                <w:kern w:val="0"/>
                <w:szCs w:val="21"/>
              </w:rPr>
              <w:t>化学发光法</w:t>
            </w:r>
          </w:p>
        </w:tc>
      </w:tr>
      <w:tr w:rsidR="002B46EF" w:rsidRPr="00CC6A75" w:rsidTr="00A05E60">
        <w:trPr>
          <w:trHeight w:val="300"/>
        </w:trPr>
        <w:tc>
          <w:tcPr>
            <w:tcW w:w="3740" w:type="dxa"/>
            <w:tcBorders>
              <w:top w:val="nil"/>
              <w:left w:val="single" w:sz="4" w:space="0" w:color="auto"/>
              <w:bottom w:val="single" w:sz="4" w:space="0" w:color="auto"/>
              <w:right w:val="single" w:sz="4" w:space="0" w:color="auto"/>
            </w:tcBorders>
            <w:noWrap/>
            <w:vAlign w:val="center"/>
          </w:tcPr>
          <w:p w:rsidR="002B46EF" w:rsidRPr="00CC6A75" w:rsidRDefault="002B46EF" w:rsidP="00CC6A75">
            <w:pPr>
              <w:widowControl/>
              <w:adjustRightInd/>
              <w:jc w:val="center"/>
              <w:rPr>
                <w:rFonts w:ascii="宋体" w:hAnsi="宋体" w:cs="宋体"/>
                <w:kern w:val="0"/>
                <w:szCs w:val="21"/>
              </w:rPr>
            </w:pPr>
            <w:r w:rsidRPr="00CC6A75">
              <w:rPr>
                <w:rFonts w:ascii="宋体" w:hAnsi="宋体" w:cs="宋体" w:hint="eastAsia"/>
                <w:kern w:val="0"/>
                <w:szCs w:val="21"/>
              </w:rPr>
              <w:t>游离 T3</w:t>
            </w:r>
          </w:p>
        </w:tc>
        <w:tc>
          <w:tcPr>
            <w:tcW w:w="3180" w:type="dxa"/>
            <w:tcBorders>
              <w:top w:val="nil"/>
              <w:left w:val="nil"/>
              <w:bottom w:val="single" w:sz="4" w:space="0" w:color="auto"/>
              <w:right w:val="single" w:sz="4" w:space="0" w:color="auto"/>
            </w:tcBorders>
            <w:noWrap/>
            <w:vAlign w:val="center"/>
          </w:tcPr>
          <w:p w:rsidR="002B46EF" w:rsidRPr="00CC6A75" w:rsidRDefault="002B46EF" w:rsidP="00CC6A75">
            <w:pPr>
              <w:widowControl/>
              <w:adjustRightInd/>
              <w:jc w:val="center"/>
              <w:rPr>
                <w:rFonts w:ascii="宋体" w:hAnsi="宋体" w:cs="宋体"/>
                <w:kern w:val="0"/>
                <w:szCs w:val="21"/>
              </w:rPr>
            </w:pPr>
            <w:r w:rsidRPr="00CC6A75">
              <w:rPr>
                <w:rFonts w:ascii="宋体" w:hAnsi="宋体" w:cs="宋体" w:hint="eastAsia"/>
                <w:kern w:val="0"/>
                <w:szCs w:val="21"/>
              </w:rPr>
              <w:t>化学发光法</w:t>
            </w:r>
          </w:p>
        </w:tc>
      </w:tr>
      <w:tr w:rsidR="002B46EF" w:rsidRPr="00CC6A75" w:rsidTr="00A05E60">
        <w:trPr>
          <w:trHeight w:val="300"/>
        </w:trPr>
        <w:tc>
          <w:tcPr>
            <w:tcW w:w="3740" w:type="dxa"/>
            <w:tcBorders>
              <w:top w:val="nil"/>
              <w:left w:val="single" w:sz="4" w:space="0" w:color="auto"/>
              <w:bottom w:val="single" w:sz="4" w:space="0" w:color="auto"/>
              <w:right w:val="single" w:sz="4" w:space="0" w:color="auto"/>
            </w:tcBorders>
            <w:noWrap/>
            <w:vAlign w:val="center"/>
          </w:tcPr>
          <w:p w:rsidR="002B46EF" w:rsidRPr="00CC6A75" w:rsidRDefault="002B46EF" w:rsidP="00CC6A75">
            <w:pPr>
              <w:widowControl/>
              <w:adjustRightInd/>
              <w:jc w:val="center"/>
              <w:rPr>
                <w:rFonts w:ascii="宋体" w:hAnsi="宋体" w:cs="宋体"/>
                <w:kern w:val="0"/>
                <w:szCs w:val="21"/>
              </w:rPr>
            </w:pPr>
            <w:r w:rsidRPr="00CC6A75">
              <w:rPr>
                <w:rFonts w:ascii="宋体" w:hAnsi="宋体" w:cs="宋体" w:hint="eastAsia"/>
                <w:kern w:val="0"/>
                <w:szCs w:val="21"/>
              </w:rPr>
              <w:t>游离 T4</w:t>
            </w:r>
          </w:p>
        </w:tc>
        <w:tc>
          <w:tcPr>
            <w:tcW w:w="3180" w:type="dxa"/>
            <w:tcBorders>
              <w:top w:val="nil"/>
              <w:left w:val="nil"/>
              <w:bottom w:val="single" w:sz="4" w:space="0" w:color="auto"/>
              <w:right w:val="single" w:sz="4" w:space="0" w:color="auto"/>
            </w:tcBorders>
            <w:noWrap/>
            <w:vAlign w:val="center"/>
          </w:tcPr>
          <w:p w:rsidR="002B46EF" w:rsidRPr="00CC6A75" w:rsidRDefault="002B46EF" w:rsidP="00CC6A75">
            <w:pPr>
              <w:widowControl/>
              <w:adjustRightInd/>
              <w:jc w:val="center"/>
              <w:rPr>
                <w:rFonts w:ascii="宋体" w:hAnsi="宋体" w:cs="宋体"/>
                <w:kern w:val="0"/>
                <w:szCs w:val="21"/>
              </w:rPr>
            </w:pPr>
            <w:r w:rsidRPr="00CC6A75">
              <w:rPr>
                <w:rFonts w:ascii="宋体" w:hAnsi="宋体" w:cs="宋体" w:hint="eastAsia"/>
                <w:kern w:val="0"/>
                <w:szCs w:val="21"/>
              </w:rPr>
              <w:t>化学发光法</w:t>
            </w:r>
          </w:p>
        </w:tc>
      </w:tr>
      <w:tr w:rsidR="002B46EF" w:rsidRPr="00CC6A75" w:rsidTr="00A05E60">
        <w:trPr>
          <w:trHeight w:val="300"/>
        </w:trPr>
        <w:tc>
          <w:tcPr>
            <w:tcW w:w="3740" w:type="dxa"/>
            <w:tcBorders>
              <w:top w:val="nil"/>
              <w:left w:val="single" w:sz="4" w:space="0" w:color="auto"/>
              <w:bottom w:val="single" w:sz="4" w:space="0" w:color="auto"/>
              <w:right w:val="single" w:sz="4" w:space="0" w:color="auto"/>
            </w:tcBorders>
            <w:noWrap/>
            <w:vAlign w:val="center"/>
          </w:tcPr>
          <w:p w:rsidR="002B46EF" w:rsidRPr="00CC6A75" w:rsidRDefault="002B46EF" w:rsidP="00CC6A75">
            <w:pPr>
              <w:widowControl/>
              <w:adjustRightInd/>
              <w:jc w:val="center"/>
              <w:rPr>
                <w:rFonts w:ascii="宋体" w:hAnsi="宋体" w:cs="宋体"/>
                <w:kern w:val="0"/>
                <w:szCs w:val="21"/>
              </w:rPr>
            </w:pPr>
            <w:r w:rsidRPr="00CC6A75">
              <w:rPr>
                <w:rFonts w:ascii="宋体" w:hAnsi="宋体" w:cs="宋体" w:hint="eastAsia"/>
                <w:kern w:val="0"/>
                <w:szCs w:val="21"/>
              </w:rPr>
              <w:t>促甲状腺激素 TSH</w:t>
            </w:r>
          </w:p>
        </w:tc>
        <w:tc>
          <w:tcPr>
            <w:tcW w:w="3180" w:type="dxa"/>
            <w:tcBorders>
              <w:top w:val="nil"/>
              <w:left w:val="nil"/>
              <w:bottom w:val="single" w:sz="4" w:space="0" w:color="auto"/>
              <w:right w:val="single" w:sz="4" w:space="0" w:color="auto"/>
            </w:tcBorders>
            <w:noWrap/>
            <w:vAlign w:val="center"/>
          </w:tcPr>
          <w:p w:rsidR="002B46EF" w:rsidRPr="00CC6A75" w:rsidRDefault="002B46EF" w:rsidP="00CC6A75">
            <w:pPr>
              <w:widowControl/>
              <w:adjustRightInd/>
              <w:jc w:val="center"/>
              <w:rPr>
                <w:rFonts w:ascii="宋体" w:hAnsi="宋体" w:cs="宋体"/>
                <w:kern w:val="0"/>
                <w:szCs w:val="21"/>
              </w:rPr>
            </w:pPr>
            <w:r w:rsidRPr="00CC6A75">
              <w:rPr>
                <w:rFonts w:ascii="宋体" w:hAnsi="宋体" w:cs="宋体" w:hint="eastAsia"/>
                <w:kern w:val="0"/>
                <w:szCs w:val="21"/>
              </w:rPr>
              <w:t>化学发光法</w:t>
            </w:r>
          </w:p>
        </w:tc>
      </w:tr>
      <w:tr w:rsidR="002B46EF" w:rsidRPr="00CC6A75" w:rsidTr="00A05E60">
        <w:trPr>
          <w:trHeight w:val="300"/>
        </w:trPr>
        <w:tc>
          <w:tcPr>
            <w:tcW w:w="3740" w:type="dxa"/>
            <w:tcBorders>
              <w:top w:val="nil"/>
              <w:left w:val="single" w:sz="4" w:space="0" w:color="auto"/>
              <w:bottom w:val="single" w:sz="4" w:space="0" w:color="auto"/>
              <w:right w:val="single" w:sz="4" w:space="0" w:color="auto"/>
            </w:tcBorders>
            <w:noWrap/>
            <w:vAlign w:val="center"/>
          </w:tcPr>
          <w:p w:rsidR="002B46EF" w:rsidRPr="00CC6A75" w:rsidRDefault="002B46EF" w:rsidP="00CC6A75">
            <w:pPr>
              <w:widowControl/>
              <w:adjustRightInd/>
              <w:jc w:val="center"/>
              <w:rPr>
                <w:rFonts w:ascii="宋体" w:hAnsi="宋体" w:cs="宋体"/>
                <w:kern w:val="0"/>
                <w:szCs w:val="21"/>
              </w:rPr>
            </w:pPr>
            <w:r w:rsidRPr="00CC6A75">
              <w:rPr>
                <w:rFonts w:ascii="宋体" w:hAnsi="宋体" w:cs="宋体" w:hint="eastAsia"/>
                <w:kern w:val="0"/>
                <w:szCs w:val="21"/>
              </w:rPr>
              <w:t>糖类抗原 CA199</w:t>
            </w:r>
          </w:p>
        </w:tc>
        <w:tc>
          <w:tcPr>
            <w:tcW w:w="3180" w:type="dxa"/>
            <w:tcBorders>
              <w:top w:val="nil"/>
              <w:left w:val="nil"/>
              <w:bottom w:val="single" w:sz="4" w:space="0" w:color="auto"/>
              <w:right w:val="single" w:sz="4" w:space="0" w:color="auto"/>
            </w:tcBorders>
            <w:noWrap/>
            <w:vAlign w:val="center"/>
          </w:tcPr>
          <w:p w:rsidR="002B46EF" w:rsidRPr="00CC6A75" w:rsidRDefault="002B46EF" w:rsidP="00CC6A75">
            <w:pPr>
              <w:widowControl/>
              <w:adjustRightInd/>
              <w:jc w:val="center"/>
              <w:rPr>
                <w:rFonts w:ascii="宋体" w:hAnsi="宋体" w:cs="宋体"/>
                <w:kern w:val="0"/>
                <w:szCs w:val="21"/>
              </w:rPr>
            </w:pPr>
            <w:r w:rsidRPr="00CC6A75">
              <w:rPr>
                <w:rFonts w:ascii="宋体" w:hAnsi="宋体" w:cs="宋体" w:hint="eastAsia"/>
                <w:kern w:val="0"/>
                <w:szCs w:val="21"/>
              </w:rPr>
              <w:t>化学发光法</w:t>
            </w:r>
          </w:p>
        </w:tc>
      </w:tr>
      <w:tr w:rsidR="002B46EF" w:rsidRPr="00CC6A75" w:rsidTr="00A05E60">
        <w:trPr>
          <w:trHeight w:val="300"/>
        </w:trPr>
        <w:tc>
          <w:tcPr>
            <w:tcW w:w="3740" w:type="dxa"/>
            <w:tcBorders>
              <w:top w:val="nil"/>
              <w:left w:val="single" w:sz="4" w:space="0" w:color="auto"/>
              <w:bottom w:val="single" w:sz="4" w:space="0" w:color="auto"/>
              <w:right w:val="single" w:sz="4" w:space="0" w:color="auto"/>
            </w:tcBorders>
            <w:noWrap/>
            <w:vAlign w:val="center"/>
          </w:tcPr>
          <w:p w:rsidR="002B46EF" w:rsidRPr="00CC6A75" w:rsidRDefault="002B46EF" w:rsidP="00CC6A75">
            <w:pPr>
              <w:widowControl/>
              <w:adjustRightInd/>
              <w:jc w:val="center"/>
              <w:rPr>
                <w:rFonts w:ascii="宋体" w:hAnsi="宋体" w:cs="宋体"/>
                <w:kern w:val="0"/>
                <w:szCs w:val="21"/>
              </w:rPr>
            </w:pPr>
            <w:r w:rsidRPr="00CC6A75">
              <w:rPr>
                <w:rFonts w:ascii="宋体" w:hAnsi="宋体" w:cs="宋体" w:hint="eastAsia"/>
                <w:kern w:val="0"/>
                <w:szCs w:val="21"/>
              </w:rPr>
              <w:t>糖类抗原 CA125</w:t>
            </w:r>
          </w:p>
        </w:tc>
        <w:tc>
          <w:tcPr>
            <w:tcW w:w="3180" w:type="dxa"/>
            <w:tcBorders>
              <w:top w:val="nil"/>
              <w:left w:val="nil"/>
              <w:bottom w:val="single" w:sz="4" w:space="0" w:color="auto"/>
              <w:right w:val="single" w:sz="4" w:space="0" w:color="auto"/>
            </w:tcBorders>
            <w:noWrap/>
            <w:vAlign w:val="center"/>
          </w:tcPr>
          <w:p w:rsidR="002B46EF" w:rsidRPr="00CC6A75" w:rsidRDefault="002B46EF" w:rsidP="00CC6A75">
            <w:pPr>
              <w:widowControl/>
              <w:adjustRightInd/>
              <w:jc w:val="center"/>
              <w:rPr>
                <w:rFonts w:ascii="宋体" w:hAnsi="宋体" w:cs="宋体"/>
                <w:kern w:val="0"/>
                <w:szCs w:val="21"/>
              </w:rPr>
            </w:pPr>
            <w:r w:rsidRPr="00CC6A75">
              <w:rPr>
                <w:rFonts w:ascii="宋体" w:hAnsi="宋体" w:cs="宋体" w:hint="eastAsia"/>
                <w:kern w:val="0"/>
                <w:szCs w:val="21"/>
              </w:rPr>
              <w:t>化学发光法</w:t>
            </w:r>
          </w:p>
        </w:tc>
      </w:tr>
      <w:tr w:rsidR="002B46EF" w:rsidRPr="00CC6A75" w:rsidTr="00A05E60">
        <w:trPr>
          <w:trHeight w:val="300"/>
        </w:trPr>
        <w:tc>
          <w:tcPr>
            <w:tcW w:w="3740" w:type="dxa"/>
            <w:tcBorders>
              <w:top w:val="nil"/>
              <w:left w:val="single" w:sz="4" w:space="0" w:color="auto"/>
              <w:bottom w:val="single" w:sz="4" w:space="0" w:color="auto"/>
              <w:right w:val="single" w:sz="4" w:space="0" w:color="auto"/>
            </w:tcBorders>
            <w:noWrap/>
            <w:vAlign w:val="center"/>
          </w:tcPr>
          <w:p w:rsidR="002B46EF" w:rsidRPr="00CC6A75" w:rsidRDefault="002B46EF" w:rsidP="00CC6A75">
            <w:pPr>
              <w:widowControl/>
              <w:adjustRightInd/>
              <w:jc w:val="center"/>
              <w:rPr>
                <w:rFonts w:ascii="宋体" w:hAnsi="宋体" w:cs="宋体"/>
                <w:kern w:val="0"/>
                <w:szCs w:val="21"/>
              </w:rPr>
            </w:pPr>
            <w:r w:rsidRPr="00CC6A75">
              <w:rPr>
                <w:rFonts w:ascii="宋体" w:hAnsi="宋体" w:cs="宋体" w:hint="eastAsia"/>
                <w:kern w:val="0"/>
                <w:szCs w:val="21"/>
              </w:rPr>
              <w:t>糖类抗原 CA153</w:t>
            </w:r>
          </w:p>
        </w:tc>
        <w:tc>
          <w:tcPr>
            <w:tcW w:w="3180" w:type="dxa"/>
            <w:tcBorders>
              <w:top w:val="nil"/>
              <w:left w:val="nil"/>
              <w:bottom w:val="single" w:sz="4" w:space="0" w:color="auto"/>
              <w:right w:val="single" w:sz="4" w:space="0" w:color="auto"/>
            </w:tcBorders>
            <w:noWrap/>
            <w:vAlign w:val="center"/>
          </w:tcPr>
          <w:p w:rsidR="002B46EF" w:rsidRPr="00CC6A75" w:rsidRDefault="002B46EF" w:rsidP="00CC6A75">
            <w:pPr>
              <w:widowControl/>
              <w:adjustRightInd/>
              <w:jc w:val="center"/>
              <w:rPr>
                <w:rFonts w:ascii="宋体" w:hAnsi="宋体" w:cs="宋体"/>
                <w:kern w:val="0"/>
                <w:szCs w:val="21"/>
              </w:rPr>
            </w:pPr>
            <w:r w:rsidRPr="00CC6A75">
              <w:rPr>
                <w:rFonts w:ascii="宋体" w:hAnsi="宋体" w:cs="宋体" w:hint="eastAsia"/>
                <w:kern w:val="0"/>
                <w:szCs w:val="21"/>
              </w:rPr>
              <w:t>化学发光法</w:t>
            </w:r>
          </w:p>
        </w:tc>
      </w:tr>
      <w:tr w:rsidR="002B46EF" w:rsidRPr="00CC6A75" w:rsidTr="00A05E60">
        <w:trPr>
          <w:trHeight w:val="300"/>
        </w:trPr>
        <w:tc>
          <w:tcPr>
            <w:tcW w:w="3740" w:type="dxa"/>
            <w:tcBorders>
              <w:top w:val="nil"/>
              <w:left w:val="single" w:sz="4" w:space="0" w:color="auto"/>
              <w:bottom w:val="single" w:sz="4" w:space="0" w:color="auto"/>
              <w:right w:val="single" w:sz="4" w:space="0" w:color="auto"/>
            </w:tcBorders>
            <w:noWrap/>
            <w:vAlign w:val="center"/>
          </w:tcPr>
          <w:p w:rsidR="002B46EF" w:rsidRPr="00CC6A75" w:rsidRDefault="002B46EF" w:rsidP="00CC6A75">
            <w:pPr>
              <w:widowControl/>
              <w:adjustRightInd/>
              <w:jc w:val="center"/>
              <w:rPr>
                <w:rFonts w:ascii="宋体" w:hAnsi="宋体" w:cs="宋体"/>
                <w:kern w:val="0"/>
                <w:szCs w:val="21"/>
              </w:rPr>
            </w:pPr>
            <w:r w:rsidRPr="00CC6A75">
              <w:rPr>
                <w:rFonts w:ascii="宋体" w:hAnsi="宋体" w:cs="宋体" w:hint="eastAsia"/>
                <w:kern w:val="0"/>
                <w:szCs w:val="21"/>
              </w:rPr>
              <w:t>铁蛋白 Fe</w:t>
            </w:r>
          </w:p>
        </w:tc>
        <w:tc>
          <w:tcPr>
            <w:tcW w:w="3180" w:type="dxa"/>
            <w:tcBorders>
              <w:top w:val="nil"/>
              <w:left w:val="nil"/>
              <w:bottom w:val="single" w:sz="4" w:space="0" w:color="auto"/>
              <w:right w:val="single" w:sz="4" w:space="0" w:color="auto"/>
            </w:tcBorders>
            <w:noWrap/>
            <w:vAlign w:val="center"/>
          </w:tcPr>
          <w:p w:rsidR="002B46EF" w:rsidRPr="00CC6A75" w:rsidRDefault="002B46EF" w:rsidP="00CC6A75">
            <w:pPr>
              <w:widowControl/>
              <w:adjustRightInd/>
              <w:jc w:val="center"/>
              <w:rPr>
                <w:rFonts w:ascii="宋体" w:hAnsi="宋体" w:cs="宋体"/>
                <w:kern w:val="0"/>
                <w:szCs w:val="21"/>
              </w:rPr>
            </w:pPr>
            <w:r w:rsidRPr="00CC6A75">
              <w:rPr>
                <w:rFonts w:ascii="宋体" w:hAnsi="宋体" w:cs="宋体" w:hint="eastAsia"/>
                <w:kern w:val="0"/>
                <w:szCs w:val="21"/>
              </w:rPr>
              <w:t>化学发光法</w:t>
            </w:r>
          </w:p>
        </w:tc>
      </w:tr>
      <w:tr w:rsidR="002B46EF" w:rsidRPr="00CC6A75" w:rsidTr="00A05E60">
        <w:trPr>
          <w:trHeight w:val="300"/>
        </w:trPr>
        <w:tc>
          <w:tcPr>
            <w:tcW w:w="3740" w:type="dxa"/>
            <w:tcBorders>
              <w:top w:val="nil"/>
              <w:left w:val="single" w:sz="4" w:space="0" w:color="auto"/>
              <w:bottom w:val="single" w:sz="4" w:space="0" w:color="auto"/>
              <w:right w:val="single" w:sz="4" w:space="0" w:color="auto"/>
            </w:tcBorders>
            <w:noWrap/>
            <w:vAlign w:val="center"/>
          </w:tcPr>
          <w:p w:rsidR="002B46EF" w:rsidRPr="00CC6A75" w:rsidRDefault="002B46EF" w:rsidP="00CC6A75">
            <w:pPr>
              <w:widowControl/>
              <w:adjustRightInd/>
              <w:jc w:val="center"/>
              <w:rPr>
                <w:rFonts w:ascii="宋体" w:hAnsi="宋体" w:cs="宋体"/>
                <w:kern w:val="0"/>
                <w:szCs w:val="21"/>
              </w:rPr>
            </w:pPr>
            <w:r w:rsidRPr="00CC6A75">
              <w:rPr>
                <w:rFonts w:ascii="宋体" w:hAnsi="宋体" w:cs="宋体" w:hint="eastAsia"/>
                <w:kern w:val="0"/>
                <w:szCs w:val="21"/>
              </w:rPr>
              <w:t>妇科 TCT</w:t>
            </w:r>
          </w:p>
        </w:tc>
        <w:tc>
          <w:tcPr>
            <w:tcW w:w="3180" w:type="dxa"/>
            <w:tcBorders>
              <w:top w:val="nil"/>
              <w:left w:val="nil"/>
              <w:bottom w:val="single" w:sz="4" w:space="0" w:color="auto"/>
              <w:right w:val="single" w:sz="4" w:space="0" w:color="auto"/>
            </w:tcBorders>
            <w:noWrap/>
            <w:vAlign w:val="center"/>
          </w:tcPr>
          <w:p w:rsidR="002B46EF" w:rsidRPr="00CC6A75" w:rsidRDefault="002B46EF" w:rsidP="00CC6A75">
            <w:pPr>
              <w:widowControl/>
              <w:adjustRightInd/>
              <w:jc w:val="center"/>
              <w:rPr>
                <w:rFonts w:ascii="宋体" w:hAnsi="宋体" w:cs="宋体"/>
                <w:kern w:val="0"/>
                <w:szCs w:val="21"/>
              </w:rPr>
            </w:pPr>
            <w:r w:rsidRPr="00CC6A75">
              <w:rPr>
                <w:rFonts w:ascii="宋体" w:hAnsi="宋体" w:cs="宋体" w:hint="eastAsia"/>
                <w:kern w:val="0"/>
                <w:szCs w:val="21"/>
              </w:rPr>
              <w:t>沉降法</w:t>
            </w:r>
          </w:p>
        </w:tc>
      </w:tr>
      <w:tr w:rsidR="002B46EF" w:rsidRPr="00CC6A75" w:rsidTr="00A05E60">
        <w:trPr>
          <w:trHeight w:val="300"/>
        </w:trPr>
        <w:tc>
          <w:tcPr>
            <w:tcW w:w="3740" w:type="dxa"/>
            <w:tcBorders>
              <w:top w:val="nil"/>
              <w:left w:val="single" w:sz="4" w:space="0" w:color="auto"/>
              <w:bottom w:val="single" w:sz="4" w:space="0" w:color="auto"/>
              <w:right w:val="single" w:sz="4" w:space="0" w:color="auto"/>
            </w:tcBorders>
            <w:noWrap/>
            <w:vAlign w:val="center"/>
          </w:tcPr>
          <w:p w:rsidR="002B46EF" w:rsidRPr="00CC6A75" w:rsidRDefault="002B46EF" w:rsidP="00CC6A75">
            <w:pPr>
              <w:widowControl/>
              <w:adjustRightInd/>
              <w:jc w:val="center"/>
              <w:rPr>
                <w:rFonts w:ascii="宋体" w:hAnsi="宋体" w:cs="宋体"/>
                <w:kern w:val="0"/>
                <w:szCs w:val="21"/>
              </w:rPr>
            </w:pPr>
            <w:r w:rsidRPr="00CC6A75">
              <w:rPr>
                <w:rFonts w:ascii="宋体" w:hAnsi="宋体" w:cs="宋体" w:hint="eastAsia"/>
                <w:kern w:val="0"/>
                <w:szCs w:val="21"/>
              </w:rPr>
              <w:t>妇科 HPV</w:t>
            </w:r>
          </w:p>
        </w:tc>
        <w:tc>
          <w:tcPr>
            <w:tcW w:w="3180" w:type="dxa"/>
            <w:tcBorders>
              <w:top w:val="nil"/>
              <w:left w:val="nil"/>
              <w:bottom w:val="single" w:sz="4" w:space="0" w:color="auto"/>
              <w:right w:val="single" w:sz="4" w:space="0" w:color="auto"/>
            </w:tcBorders>
            <w:noWrap/>
            <w:vAlign w:val="center"/>
          </w:tcPr>
          <w:p w:rsidR="002B46EF" w:rsidRPr="00CC6A75" w:rsidRDefault="002B46EF" w:rsidP="00CC6A75">
            <w:pPr>
              <w:widowControl/>
              <w:adjustRightInd/>
              <w:jc w:val="center"/>
              <w:rPr>
                <w:rFonts w:ascii="宋体" w:hAnsi="宋体" w:cs="宋体"/>
                <w:kern w:val="0"/>
                <w:szCs w:val="21"/>
              </w:rPr>
            </w:pPr>
            <w:r w:rsidRPr="00CC6A75">
              <w:rPr>
                <w:rFonts w:ascii="宋体" w:hAnsi="宋体" w:cs="宋体" w:hint="eastAsia"/>
                <w:kern w:val="0"/>
                <w:szCs w:val="21"/>
              </w:rPr>
              <w:t>荧光PCR法或反向杂交法</w:t>
            </w:r>
          </w:p>
        </w:tc>
      </w:tr>
      <w:tr w:rsidR="002B46EF" w:rsidRPr="00CC6A75" w:rsidTr="00A05E60">
        <w:trPr>
          <w:trHeight w:val="300"/>
        </w:trPr>
        <w:tc>
          <w:tcPr>
            <w:tcW w:w="3740" w:type="dxa"/>
            <w:tcBorders>
              <w:top w:val="nil"/>
              <w:left w:val="single" w:sz="4" w:space="0" w:color="auto"/>
              <w:bottom w:val="single" w:sz="4" w:space="0" w:color="auto"/>
              <w:right w:val="single" w:sz="4" w:space="0" w:color="auto"/>
            </w:tcBorders>
            <w:noWrap/>
            <w:vAlign w:val="center"/>
          </w:tcPr>
          <w:p w:rsidR="002B46EF" w:rsidRPr="00CC6A75" w:rsidRDefault="002B46EF" w:rsidP="00CC6A75">
            <w:pPr>
              <w:widowControl/>
              <w:adjustRightInd/>
              <w:jc w:val="center"/>
              <w:rPr>
                <w:rFonts w:ascii="宋体" w:hAnsi="宋体" w:cs="宋体"/>
                <w:kern w:val="0"/>
                <w:szCs w:val="21"/>
              </w:rPr>
            </w:pPr>
            <w:r w:rsidRPr="00CC6A75">
              <w:rPr>
                <w:rFonts w:ascii="宋体" w:hAnsi="宋体" w:cs="宋体" w:hint="eastAsia"/>
                <w:kern w:val="0"/>
                <w:szCs w:val="21"/>
              </w:rPr>
              <w:t>糖类抗原 72-4</w:t>
            </w:r>
          </w:p>
        </w:tc>
        <w:tc>
          <w:tcPr>
            <w:tcW w:w="3180" w:type="dxa"/>
            <w:tcBorders>
              <w:top w:val="nil"/>
              <w:left w:val="nil"/>
              <w:bottom w:val="single" w:sz="4" w:space="0" w:color="auto"/>
              <w:right w:val="single" w:sz="4" w:space="0" w:color="auto"/>
            </w:tcBorders>
            <w:noWrap/>
            <w:vAlign w:val="center"/>
          </w:tcPr>
          <w:p w:rsidR="002B46EF" w:rsidRPr="00CC6A75" w:rsidRDefault="002B46EF" w:rsidP="00CC6A75">
            <w:pPr>
              <w:widowControl/>
              <w:adjustRightInd/>
              <w:jc w:val="center"/>
              <w:rPr>
                <w:rFonts w:ascii="宋体" w:hAnsi="宋体" w:cs="宋体"/>
                <w:kern w:val="0"/>
                <w:szCs w:val="21"/>
              </w:rPr>
            </w:pPr>
            <w:r w:rsidRPr="00CC6A75">
              <w:rPr>
                <w:rFonts w:ascii="宋体" w:hAnsi="宋体" w:cs="宋体" w:hint="eastAsia"/>
                <w:kern w:val="0"/>
                <w:szCs w:val="21"/>
              </w:rPr>
              <w:t>化学发光法</w:t>
            </w:r>
          </w:p>
        </w:tc>
      </w:tr>
      <w:tr w:rsidR="002B46EF" w:rsidRPr="00CC6A75" w:rsidTr="00A05E60">
        <w:trPr>
          <w:trHeight w:val="300"/>
        </w:trPr>
        <w:tc>
          <w:tcPr>
            <w:tcW w:w="3740" w:type="dxa"/>
            <w:tcBorders>
              <w:top w:val="nil"/>
              <w:left w:val="single" w:sz="4" w:space="0" w:color="auto"/>
              <w:bottom w:val="single" w:sz="4" w:space="0" w:color="auto"/>
              <w:right w:val="single" w:sz="4" w:space="0" w:color="auto"/>
            </w:tcBorders>
            <w:noWrap/>
            <w:vAlign w:val="center"/>
          </w:tcPr>
          <w:p w:rsidR="002B46EF" w:rsidRPr="00CC6A75" w:rsidRDefault="002B46EF" w:rsidP="00CC6A75">
            <w:pPr>
              <w:widowControl/>
              <w:adjustRightInd/>
              <w:jc w:val="center"/>
              <w:rPr>
                <w:rFonts w:ascii="宋体" w:hAnsi="宋体" w:cs="宋体"/>
                <w:kern w:val="0"/>
                <w:szCs w:val="21"/>
              </w:rPr>
            </w:pPr>
            <w:r w:rsidRPr="00CC6A75">
              <w:rPr>
                <w:rFonts w:ascii="宋体" w:hAnsi="宋体" w:cs="宋体" w:hint="eastAsia"/>
                <w:kern w:val="0"/>
                <w:szCs w:val="21"/>
              </w:rPr>
              <w:t>血清丙氨酸氨基转移酶</w:t>
            </w:r>
          </w:p>
        </w:tc>
        <w:tc>
          <w:tcPr>
            <w:tcW w:w="3180" w:type="dxa"/>
            <w:tcBorders>
              <w:top w:val="nil"/>
              <w:left w:val="nil"/>
              <w:bottom w:val="single" w:sz="4" w:space="0" w:color="auto"/>
              <w:right w:val="single" w:sz="4" w:space="0" w:color="auto"/>
            </w:tcBorders>
            <w:noWrap/>
            <w:vAlign w:val="center"/>
          </w:tcPr>
          <w:p w:rsidR="002B46EF" w:rsidRPr="00CC6A75" w:rsidRDefault="002B46EF" w:rsidP="00CC6A75">
            <w:pPr>
              <w:widowControl/>
              <w:adjustRightInd/>
              <w:jc w:val="center"/>
              <w:rPr>
                <w:rFonts w:ascii="宋体" w:hAnsi="宋体" w:cs="宋体"/>
                <w:kern w:val="0"/>
                <w:szCs w:val="21"/>
              </w:rPr>
            </w:pPr>
            <w:r w:rsidRPr="00CC6A75">
              <w:rPr>
                <w:rFonts w:ascii="宋体" w:hAnsi="宋体" w:cs="宋体" w:hint="eastAsia"/>
                <w:kern w:val="0"/>
                <w:szCs w:val="21"/>
              </w:rPr>
              <w:t>速率法</w:t>
            </w:r>
          </w:p>
        </w:tc>
      </w:tr>
      <w:tr w:rsidR="002B46EF" w:rsidRPr="00CC6A75" w:rsidTr="00A05E60">
        <w:trPr>
          <w:trHeight w:val="300"/>
        </w:trPr>
        <w:tc>
          <w:tcPr>
            <w:tcW w:w="3740" w:type="dxa"/>
            <w:tcBorders>
              <w:top w:val="nil"/>
              <w:left w:val="single" w:sz="4" w:space="0" w:color="auto"/>
              <w:bottom w:val="single" w:sz="4" w:space="0" w:color="auto"/>
              <w:right w:val="single" w:sz="4" w:space="0" w:color="auto"/>
            </w:tcBorders>
            <w:noWrap/>
            <w:vAlign w:val="center"/>
          </w:tcPr>
          <w:p w:rsidR="002B46EF" w:rsidRPr="00CC6A75" w:rsidRDefault="002B46EF" w:rsidP="00CC6A75">
            <w:pPr>
              <w:widowControl/>
              <w:adjustRightInd/>
              <w:jc w:val="center"/>
              <w:rPr>
                <w:rFonts w:ascii="宋体" w:hAnsi="宋体" w:cs="宋体"/>
                <w:kern w:val="0"/>
                <w:szCs w:val="21"/>
              </w:rPr>
            </w:pPr>
            <w:r w:rsidRPr="00CC6A75">
              <w:rPr>
                <w:rFonts w:ascii="宋体" w:hAnsi="宋体" w:cs="宋体" w:hint="eastAsia"/>
                <w:kern w:val="0"/>
                <w:szCs w:val="21"/>
              </w:rPr>
              <w:t>胃蛋白酶原 1 （血清 PG-Ⅰ）</w:t>
            </w:r>
          </w:p>
        </w:tc>
        <w:tc>
          <w:tcPr>
            <w:tcW w:w="3180" w:type="dxa"/>
            <w:tcBorders>
              <w:top w:val="nil"/>
              <w:left w:val="nil"/>
              <w:bottom w:val="single" w:sz="4" w:space="0" w:color="auto"/>
              <w:right w:val="single" w:sz="4" w:space="0" w:color="auto"/>
            </w:tcBorders>
            <w:noWrap/>
            <w:vAlign w:val="center"/>
          </w:tcPr>
          <w:p w:rsidR="002B46EF" w:rsidRPr="00CC6A75" w:rsidRDefault="002B46EF" w:rsidP="00CC6A75">
            <w:pPr>
              <w:widowControl/>
              <w:adjustRightInd/>
              <w:jc w:val="center"/>
              <w:rPr>
                <w:rFonts w:ascii="宋体" w:hAnsi="宋体" w:cs="宋体"/>
                <w:kern w:val="0"/>
                <w:szCs w:val="21"/>
              </w:rPr>
            </w:pPr>
            <w:r w:rsidRPr="00CC6A75">
              <w:rPr>
                <w:rFonts w:ascii="宋体" w:hAnsi="宋体" w:cs="宋体" w:hint="eastAsia"/>
                <w:kern w:val="0"/>
                <w:szCs w:val="21"/>
              </w:rPr>
              <w:t>化学发光法</w:t>
            </w:r>
          </w:p>
        </w:tc>
      </w:tr>
      <w:tr w:rsidR="002B46EF" w:rsidRPr="00CC6A75" w:rsidTr="00A05E60">
        <w:trPr>
          <w:trHeight w:val="300"/>
        </w:trPr>
        <w:tc>
          <w:tcPr>
            <w:tcW w:w="3740" w:type="dxa"/>
            <w:tcBorders>
              <w:top w:val="nil"/>
              <w:left w:val="single" w:sz="4" w:space="0" w:color="auto"/>
              <w:bottom w:val="single" w:sz="4" w:space="0" w:color="auto"/>
              <w:right w:val="single" w:sz="4" w:space="0" w:color="auto"/>
            </w:tcBorders>
            <w:noWrap/>
            <w:vAlign w:val="center"/>
          </w:tcPr>
          <w:p w:rsidR="002B46EF" w:rsidRPr="00CC6A75" w:rsidRDefault="002B46EF" w:rsidP="00CC6A75">
            <w:pPr>
              <w:widowControl/>
              <w:adjustRightInd/>
              <w:jc w:val="center"/>
              <w:rPr>
                <w:rFonts w:ascii="宋体" w:hAnsi="宋体" w:cs="宋体"/>
                <w:kern w:val="0"/>
                <w:szCs w:val="21"/>
              </w:rPr>
            </w:pPr>
            <w:r w:rsidRPr="00CC6A75">
              <w:rPr>
                <w:rFonts w:ascii="宋体" w:hAnsi="宋体" w:cs="宋体" w:hint="eastAsia"/>
                <w:kern w:val="0"/>
                <w:szCs w:val="21"/>
              </w:rPr>
              <w:t>胃蛋白酶原 2（PG-Ⅱ）</w:t>
            </w:r>
          </w:p>
        </w:tc>
        <w:tc>
          <w:tcPr>
            <w:tcW w:w="3180" w:type="dxa"/>
            <w:tcBorders>
              <w:top w:val="nil"/>
              <w:left w:val="nil"/>
              <w:bottom w:val="single" w:sz="4" w:space="0" w:color="auto"/>
              <w:right w:val="single" w:sz="4" w:space="0" w:color="auto"/>
            </w:tcBorders>
            <w:noWrap/>
            <w:vAlign w:val="center"/>
          </w:tcPr>
          <w:p w:rsidR="002B46EF" w:rsidRPr="00CC6A75" w:rsidRDefault="002B46EF" w:rsidP="00CC6A75">
            <w:pPr>
              <w:widowControl/>
              <w:adjustRightInd/>
              <w:jc w:val="center"/>
              <w:rPr>
                <w:rFonts w:ascii="宋体" w:hAnsi="宋体" w:cs="宋体"/>
                <w:kern w:val="0"/>
                <w:szCs w:val="21"/>
              </w:rPr>
            </w:pPr>
            <w:r w:rsidRPr="00CC6A75">
              <w:rPr>
                <w:rFonts w:ascii="宋体" w:hAnsi="宋体" w:cs="宋体" w:hint="eastAsia"/>
                <w:kern w:val="0"/>
                <w:szCs w:val="21"/>
              </w:rPr>
              <w:t>化学发光法</w:t>
            </w:r>
          </w:p>
        </w:tc>
      </w:tr>
      <w:tr w:rsidR="002B46EF" w:rsidRPr="00CC6A75" w:rsidTr="00A05E60">
        <w:trPr>
          <w:trHeight w:val="300"/>
        </w:trPr>
        <w:tc>
          <w:tcPr>
            <w:tcW w:w="3740" w:type="dxa"/>
            <w:tcBorders>
              <w:top w:val="nil"/>
              <w:left w:val="single" w:sz="4" w:space="0" w:color="auto"/>
              <w:bottom w:val="single" w:sz="4" w:space="0" w:color="auto"/>
              <w:right w:val="single" w:sz="4" w:space="0" w:color="auto"/>
            </w:tcBorders>
            <w:noWrap/>
            <w:vAlign w:val="center"/>
          </w:tcPr>
          <w:p w:rsidR="002B46EF" w:rsidRPr="00CC6A75" w:rsidRDefault="002B46EF" w:rsidP="00CC6A75">
            <w:pPr>
              <w:widowControl/>
              <w:adjustRightInd/>
              <w:jc w:val="center"/>
              <w:rPr>
                <w:rFonts w:ascii="宋体" w:hAnsi="宋体" w:cs="宋体"/>
                <w:kern w:val="0"/>
                <w:szCs w:val="21"/>
              </w:rPr>
            </w:pPr>
            <w:r w:rsidRPr="00CC6A75">
              <w:rPr>
                <w:rFonts w:ascii="宋体" w:hAnsi="宋体" w:cs="宋体" w:hint="eastAsia"/>
                <w:kern w:val="0"/>
                <w:szCs w:val="21"/>
              </w:rPr>
              <w:t>胃泌素 17（G-17）</w:t>
            </w:r>
          </w:p>
        </w:tc>
        <w:tc>
          <w:tcPr>
            <w:tcW w:w="3180" w:type="dxa"/>
            <w:tcBorders>
              <w:top w:val="nil"/>
              <w:left w:val="nil"/>
              <w:bottom w:val="single" w:sz="4" w:space="0" w:color="auto"/>
              <w:right w:val="single" w:sz="4" w:space="0" w:color="auto"/>
            </w:tcBorders>
            <w:noWrap/>
            <w:vAlign w:val="center"/>
          </w:tcPr>
          <w:p w:rsidR="002B46EF" w:rsidRPr="00CC6A75" w:rsidRDefault="002B46EF" w:rsidP="00CC6A75">
            <w:pPr>
              <w:widowControl/>
              <w:adjustRightInd/>
              <w:jc w:val="center"/>
              <w:rPr>
                <w:rFonts w:ascii="宋体" w:hAnsi="宋体" w:cs="宋体"/>
                <w:kern w:val="0"/>
                <w:szCs w:val="21"/>
              </w:rPr>
            </w:pPr>
            <w:r w:rsidRPr="00CC6A75">
              <w:rPr>
                <w:rFonts w:ascii="宋体" w:hAnsi="宋体" w:cs="宋体" w:hint="eastAsia"/>
                <w:kern w:val="0"/>
                <w:szCs w:val="21"/>
              </w:rPr>
              <w:t>化学发光法</w:t>
            </w:r>
          </w:p>
        </w:tc>
      </w:tr>
      <w:tr w:rsidR="002B46EF" w:rsidRPr="00CC6A75" w:rsidTr="00A05E60">
        <w:trPr>
          <w:trHeight w:val="300"/>
        </w:trPr>
        <w:tc>
          <w:tcPr>
            <w:tcW w:w="3740" w:type="dxa"/>
            <w:tcBorders>
              <w:top w:val="nil"/>
              <w:left w:val="single" w:sz="4" w:space="0" w:color="auto"/>
              <w:bottom w:val="single" w:sz="4" w:space="0" w:color="auto"/>
              <w:right w:val="single" w:sz="4" w:space="0" w:color="auto"/>
            </w:tcBorders>
            <w:noWrap/>
            <w:vAlign w:val="center"/>
          </w:tcPr>
          <w:p w:rsidR="002B46EF" w:rsidRPr="00CC6A75" w:rsidRDefault="002B46EF" w:rsidP="00CC6A75">
            <w:pPr>
              <w:widowControl/>
              <w:adjustRightInd/>
              <w:jc w:val="center"/>
              <w:rPr>
                <w:rFonts w:ascii="宋体" w:hAnsi="宋体" w:cs="宋体"/>
                <w:kern w:val="0"/>
                <w:szCs w:val="21"/>
              </w:rPr>
            </w:pPr>
            <w:r w:rsidRPr="00CC6A75">
              <w:rPr>
                <w:rFonts w:ascii="宋体" w:hAnsi="宋体" w:cs="宋体" w:hint="eastAsia"/>
                <w:kern w:val="0"/>
                <w:szCs w:val="21"/>
              </w:rPr>
              <w:t>NSE</w:t>
            </w:r>
          </w:p>
        </w:tc>
        <w:tc>
          <w:tcPr>
            <w:tcW w:w="3180" w:type="dxa"/>
            <w:tcBorders>
              <w:top w:val="nil"/>
              <w:left w:val="nil"/>
              <w:bottom w:val="single" w:sz="4" w:space="0" w:color="auto"/>
              <w:right w:val="single" w:sz="4" w:space="0" w:color="auto"/>
            </w:tcBorders>
            <w:noWrap/>
            <w:vAlign w:val="center"/>
          </w:tcPr>
          <w:p w:rsidR="002B46EF" w:rsidRPr="00CC6A75" w:rsidRDefault="002B46EF" w:rsidP="00CC6A75">
            <w:pPr>
              <w:widowControl/>
              <w:adjustRightInd/>
              <w:jc w:val="center"/>
              <w:rPr>
                <w:rFonts w:ascii="宋体" w:hAnsi="宋体" w:cs="宋体"/>
                <w:kern w:val="0"/>
                <w:szCs w:val="21"/>
              </w:rPr>
            </w:pPr>
            <w:r w:rsidRPr="00CC6A75">
              <w:rPr>
                <w:rFonts w:ascii="宋体" w:hAnsi="宋体" w:cs="宋体" w:hint="eastAsia"/>
                <w:kern w:val="0"/>
                <w:szCs w:val="21"/>
              </w:rPr>
              <w:t>化学发光法</w:t>
            </w:r>
          </w:p>
        </w:tc>
      </w:tr>
      <w:tr w:rsidR="002B46EF" w:rsidRPr="00CC6A75" w:rsidTr="002B46EF">
        <w:trPr>
          <w:trHeight w:val="300"/>
        </w:trPr>
        <w:tc>
          <w:tcPr>
            <w:tcW w:w="3740" w:type="dxa"/>
            <w:tcBorders>
              <w:top w:val="nil"/>
              <w:left w:val="single" w:sz="4" w:space="0" w:color="auto"/>
              <w:bottom w:val="single" w:sz="4" w:space="0" w:color="auto"/>
              <w:right w:val="single" w:sz="4" w:space="0" w:color="auto"/>
            </w:tcBorders>
            <w:noWrap/>
            <w:vAlign w:val="center"/>
          </w:tcPr>
          <w:p w:rsidR="002B46EF" w:rsidRPr="00CC6A75" w:rsidRDefault="002B46EF" w:rsidP="00CC6A75">
            <w:pPr>
              <w:widowControl/>
              <w:adjustRightInd/>
              <w:jc w:val="center"/>
              <w:rPr>
                <w:rFonts w:ascii="宋体" w:hAnsi="宋体" w:cs="宋体"/>
                <w:kern w:val="0"/>
                <w:szCs w:val="21"/>
              </w:rPr>
            </w:pPr>
            <w:r w:rsidRPr="00CC6A75">
              <w:rPr>
                <w:rFonts w:ascii="宋体" w:hAnsi="宋体" w:cs="宋体" w:hint="eastAsia"/>
                <w:kern w:val="0"/>
                <w:szCs w:val="21"/>
              </w:rPr>
              <w:t>T3</w:t>
            </w:r>
          </w:p>
        </w:tc>
        <w:tc>
          <w:tcPr>
            <w:tcW w:w="3180" w:type="dxa"/>
            <w:tcBorders>
              <w:top w:val="nil"/>
              <w:left w:val="nil"/>
              <w:bottom w:val="single" w:sz="4" w:space="0" w:color="auto"/>
              <w:right w:val="single" w:sz="4" w:space="0" w:color="auto"/>
            </w:tcBorders>
            <w:noWrap/>
            <w:vAlign w:val="center"/>
          </w:tcPr>
          <w:p w:rsidR="002B46EF" w:rsidRPr="00CC6A75" w:rsidRDefault="002B46EF" w:rsidP="00CC6A75">
            <w:pPr>
              <w:widowControl/>
              <w:adjustRightInd/>
              <w:jc w:val="center"/>
              <w:rPr>
                <w:rFonts w:ascii="宋体" w:hAnsi="宋体" w:cs="宋体"/>
                <w:kern w:val="0"/>
                <w:szCs w:val="21"/>
              </w:rPr>
            </w:pPr>
            <w:r w:rsidRPr="00CC6A75">
              <w:rPr>
                <w:rFonts w:ascii="宋体" w:hAnsi="宋体" w:cs="宋体" w:hint="eastAsia"/>
                <w:kern w:val="0"/>
                <w:szCs w:val="21"/>
              </w:rPr>
              <w:t>化学发光法</w:t>
            </w:r>
          </w:p>
        </w:tc>
      </w:tr>
      <w:tr w:rsidR="002B46EF" w:rsidRPr="00CC6A75" w:rsidTr="002B46EF">
        <w:trPr>
          <w:trHeight w:val="300"/>
        </w:trPr>
        <w:tc>
          <w:tcPr>
            <w:tcW w:w="3740" w:type="dxa"/>
            <w:tcBorders>
              <w:top w:val="single" w:sz="4" w:space="0" w:color="auto"/>
              <w:left w:val="single" w:sz="4" w:space="0" w:color="auto"/>
              <w:bottom w:val="single" w:sz="4" w:space="0" w:color="auto"/>
              <w:right w:val="single" w:sz="4" w:space="0" w:color="auto"/>
            </w:tcBorders>
            <w:noWrap/>
            <w:vAlign w:val="center"/>
          </w:tcPr>
          <w:p w:rsidR="002B46EF" w:rsidRPr="00CC6A75" w:rsidRDefault="002B46EF" w:rsidP="00CC6A75">
            <w:pPr>
              <w:widowControl/>
              <w:adjustRightInd/>
              <w:jc w:val="center"/>
              <w:rPr>
                <w:rFonts w:ascii="宋体" w:hAnsi="宋体" w:cs="宋体"/>
                <w:kern w:val="0"/>
                <w:szCs w:val="21"/>
              </w:rPr>
            </w:pPr>
            <w:r w:rsidRPr="00CC6A75">
              <w:rPr>
                <w:rFonts w:ascii="宋体" w:hAnsi="宋体" w:cs="宋体" w:hint="eastAsia"/>
                <w:kern w:val="0"/>
                <w:szCs w:val="21"/>
              </w:rPr>
              <w:t>T</w:t>
            </w:r>
            <w:r w:rsidRPr="00CC6A75">
              <w:rPr>
                <w:rFonts w:ascii="宋体" w:hAnsi="宋体" w:cs="宋体"/>
                <w:kern w:val="0"/>
                <w:szCs w:val="21"/>
              </w:rPr>
              <w:t>4</w:t>
            </w:r>
          </w:p>
        </w:tc>
        <w:tc>
          <w:tcPr>
            <w:tcW w:w="3180" w:type="dxa"/>
            <w:tcBorders>
              <w:top w:val="single" w:sz="4" w:space="0" w:color="auto"/>
              <w:left w:val="nil"/>
              <w:bottom w:val="single" w:sz="4" w:space="0" w:color="auto"/>
              <w:right w:val="single" w:sz="4" w:space="0" w:color="auto"/>
            </w:tcBorders>
            <w:noWrap/>
            <w:vAlign w:val="center"/>
          </w:tcPr>
          <w:p w:rsidR="002B46EF" w:rsidRPr="00CC6A75" w:rsidRDefault="002B46EF" w:rsidP="00CC6A75">
            <w:pPr>
              <w:widowControl/>
              <w:adjustRightInd/>
              <w:jc w:val="center"/>
              <w:rPr>
                <w:rFonts w:ascii="宋体" w:hAnsi="宋体" w:cs="宋体"/>
                <w:kern w:val="0"/>
                <w:szCs w:val="21"/>
              </w:rPr>
            </w:pPr>
            <w:r w:rsidRPr="00CC6A75">
              <w:rPr>
                <w:rFonts w:ascii="宋体" w:hAnsi="宋体" w:cs="宋体" w:hint="eastAsia"/>
                <w:kern w:val="0"/>
                <w:szCs w:val="21"/>
              </w:rPr>
              <w:t>化学发光法</w:t>
            </w:r>
          </w:p>
        </w:tc>
      </w:tr>
      <w:tr w:rsidR="00CC6A75" w:rsidRPr="00CC6A75" w:rsidTr="002B46EF">
        <w:trPr>
          <w:trHeight w:val="300"/>
        </w:trPr>
        <w:tc>
          <w:tcPr>
            <w:tcW w:w="3740" w:type="dxa"/>
            <w:tcBorders>
              <w:top w:val="single" w:sz="4" w:space="0" w:color="auto"/>
              <w:left w:val="single" w:sz="4" w:space="0" w:color="auto"/>
              <w:bottom w:val="single" w:sz="4" w:space="0" w:color="auto"/>
              <w:right w:val="single" w:sz="4" w:space="0" w:color="auto"/>
            </w:tcBorders>
            <w:noWrap/>
            <w:vAlign w:val="center"/>
          </w:tcPr>
          <w:p w:rsidR="00CC6A75" w:rsidRPr="00CC6A75" w:rsidRDefault="00CC6A75" w:rsidP="00CC6A75">
            <w:pPr>
              <w:widowControl/>
              <w:adjustRightInd/>
              <w:jc w:val="center"/>
              <w:rPr>
                <w:rFonts w:ascii="宋体" w:hAnsi="宋体" w:cs="宋体"/>
                <w:color w:val="FF0000"/>
                <w:kern w:val="0"/>
                <w:szCs w:val="21"/>
              </w:rPr>
            </w:pPr>
            <w:r w:rsidRPr="00CC6A75">
              <w:rPr>
                <w:rFonts w:ascii="宋体" w:hAnsi="宋体" w:cs="宋体" w:hint="eastAsia"/>
                <w:color w:val="FF0000"/>
                <w:kern w:val="0"/>
                <w:szCs w:val="21"/>
              </w:rPr>
              <w:t>血常规（五分类）</w:t>
            </w:r>
          </w:p>
        </w:tc>
        <w:tc>
          <w:tcPr>
            <w:tcW w:w="3180" w:type="dxa"/>
            <w:tcBorders>
              <w:top w:val="single" w:sz="4" w:space="0" w:color="auto"/>
              <w:left w:val="nil"/>
              <w:bottom w:val="single" w:sz="4" w:space="0" w:color="auto"/>
              <w:right w:val="single" w:sz="4" w:space="0" w:color="auto"/>
            </w:tcBorders>
            <w:noWrap/>
            <w:vAlign w:val="center"/>
          </w:tcPr>
          <w:p w:rsidR="00CC6A75" w:rsidRPr="00CC6A75" w:rsidRDefault="00CC6A75" w:rsidP="00CC6A75">
            <w:pPr>
              <w:widowControl/>
              <w:adjustRightInd/>
              <w:jc w:val="center"/>
              <w:rPr>
                <w:rFonts w:ascii="宋体" w:hAnsi="宋体" w:cs="宋体"/>
                <w:kern w:val="0"/>
                <w:szCs w:val="21"/>
              </w:rPr>
            </w:pPr>
          </w:p>
        </w:tc>
      </w:tr>
      <w:tr w:rsidR="00CC6A75" w:rsidRPr="00CC6A75" w:rsidTr="002B46EF">
        <w:trPr>
          <w:trHeight w:val="300"/>
        </w:trPr>
        <w:tc>
          <w:tcPr>
            <w:tcW w:w="3740" w:type="dxa"/>
            <w:tcBorders>
              <w:top w:val="single" w:sz="4" w:space="0" w:color="auto"/>
              <w:left w:val="single" w:sz="4" w:space="0" w:color="auto"/>
              <w:bottom w:val="single" w:sz="4" w:space="0" w:color="auto"/>
              <w:right w:val="single" w:sz="4" w:space="0" w:color="auto"/>
            </w:tcBorders>
            <w:noWrap/>
            <w:vAlign w:val="center"/>
          </w:tcPr>
          <w:p w:rsidR="00CC6A75" w:rsidRPr="00CC6A75" w:rsidRDefault="00CC6A75" w:rsidP="00CC6A75">
            <w:pPr>
              <w:widowControl/>
              <w:adjustRightInd/>
              <w:jc w:val="center"/>
              <w:rPr>
                <w:rFonts w:ascii="宋体" w:hAnsi="宋体" w:cs="宋体"/>
                <w:color w:val="FF0000"/>
                <w:kern w:val="0"/>
                <w:szCs w:val="21"/>
              </w:rPr>
            </w:pPr>
            <w:r w:rsidRPr="00CC6A75">
              <w:rPr>
                <w:rFonts w:ascii="宋体" w:hAnsi="宋体" w:cs="宋体" w:hint="eastAsia"/>
                <w:color w:val="FF0000"/>
                <w:kern w:val="0"/>
                <w:szCs w:val="21"/>
              </w:rPr>
              <w:t>血同型半胱氨酸测定</w:t>
            </w:r>
          </w:p>
        </w:tc>
        <w:tc>
          <w:tcPr>
            <w:tcW w:w="3180" w:type="dxa"/>
            <w:tcBorders>
              <w:top w:val="single" w:sz="4" w:space="0" w:color="auto"/>
              <w:left w:val="nil"/>
              <w:bottom w:val="single" w:sz="4" w:space="0" w:color="auto"/>
              <w:right w:val="single" w:sz="4" w:space="0" w:color="auto"/>
            </w:tcBorders>
            <w:noWrap/>
            <w:vAlign w:val="center"/>
          </w:tcPr>
          <w:p w:rsidR="00CC6A75" w:rsidRPr="00CC6A75" w:rsidRDefault="00CC6A75" w:rsidP="00CC6A75">
            <w:pPr>
              <w:widowControl/>
              <w:adjustRightInd/>
              <w:jc w:val="center"/>
              <w:rPr>
                <w:rFonts w:ascii="宋体" w:hAnsi="宋体" w:cs="宋体"/>
                <w:kern w:val="0"/>
                <w:szCs w:val="21"/>
              </w:rPr>
            </w:pPr>
          </w:p>
        </w:tc>
      </w:tr>
    </w:tbl>
    <w:p w:rsidR="002B46EF" w:rsidRPr="00CC6A75" w:rsidRDefault="002B46EF" w:rsidP="00CC6A75">
      <w:pPr>
        <w:rPr>
          <w:sz w:val="24"/>
        </w:rPr>
      </w:pPr>
    </w:p>
    <w:p w:rsidR="002B46EF" w:rsidRPr="00CC6A75" w:rsidRDefault="002B46EF" w:rsidP="00CC6A75">
      <w:pPr>
        <w:snapToGrid w:val="0"/>
        <w:jc w:val="left"/>
        <w:rPr>
          <w:rFonts w:ascii="仿宋" w:eastAsia="仿宋" w:hAnsi="仿宋" w:cs="仿宋_GB2312"/>
          <w:b/>
          <w:sz w:val="24"/>
        </w:rPr>
      </w:pPr>
      <w:r w:rsidRPr="00CC6A75">
        <w:rPr>
          <w:rFonts w:ascii="仿宋" w:eastAsia="仿宋" w:hAnsi="仿宋" w:cs="仿宋_GB2312" w:hint="eastAsia"/>
          <w:b/>
          <w:sz w:val="24"/>
        </w:rPr>
        <w:t>1.7 LIS系统接口：</w:t>
      </w:r>
    </w:p>
    <w:p w:rsidR="002B46EF" w:rsidRPr="00CC6A75" w:rsidRDefault="002B46EF" w:rsidP="00CC6A75">
      <w:pPr>
        <w:snapToGrid w:val="0"/>
        <w:jc w:val="left"/>
        <w:rPr>
          <w:rFonts w:ascii="仿宋" w:eastAsia="仿宋" w:hAnsi="仿宋" w:cs="仿宋_GB2312"/>
          <w:sz w:val="24"/>
        </w:rPr>
      </w:pPr>
      <w:r w:rsidRPr="00CC6A75">
        <w:rPr>
          <w:rFonts w:ascii="仿宋" w:eastAsia="仿宋" w:hAnsi="仿宋" w:cs="仿宋_GB2312" w:hint="eastAsia"/>
          <w:b/>
          <w:sz w:val="24"/>
        </w:rPr>
        <w:t>华舍分院：</w:t>
      </w:r>
      <w:r w:rsidRPr="00CC6A75">
        <w:rPr>
          <w:rFonts w:ascii="仿宋" w:eastAsia="仿宋" w:hAnsi="仿宋" w:cs="仿宋_GB2312" w:hint="eastAsia"/>
          <w:sz w:val="24"/>
        </w:rPr>
        <w:t>莱邦实验室信息系统V9.0（OneLIS）</w:t>
      </w:r>
    </w:p>
    <w:p w:rsidR="002B46EF" w:rsidRPr="00CC6A75" w:rsidRDefault="002B46EF" w:rsidP="00CC6A75">
      <w:pPr>
        <w:snapToGrid w:val="0"/>
        <w:jc w:val="left"/>
        <w:rPr>
          <w:rFonts w:ascii="仿宋" w:eastAsia="仿宋" w:hAnsi="仿宋" w:cs="仿宋_GB2312"/>
          <w:sz w:val="24"/>
        </w:rPr>
      </w:pPr>
      <w:r w:rsidRPr="00CC6A75">
        <w:rPr>
          <w:rFonts w:ascii="仿宋" w:eastAsia="仿宋" w:hAnsi="仿宋" w:cs="仿宋_GB2312" w:hint="eastAsia"/>
          <w:sz w:val="24"/>
        </w:rPr>
        <w:t>1.支持外送委托检验信息系统与医院LIS系统进行数据交互的功能；</w:t>
      </w:r>
    </w:p>
    <w:p w:rsidR="002B46EF" w:rsidRPr="00CC6A75" w:rsidRDefault="002B46EF" w:rsidP="00CC6A75">
      <w:pPr>
        <w:snapToGrid w:val="0"/>
        <w:jc w:val="left"/>
        <w:rPr>
          <w:rFonts w:ascii="仿宋" w:eastAsia="仿宋" w:hAnsi="仿宋" w:cs="仿宋_GB2312"/>
          <w:sz w:val="24"/>
        </w:rPr>
      </w:pPr>
      <w:r w:rsidRPr="00CC6A75">
        <w:rPr>
          <w:rFonts w:ascii="仿宋" w:eastAsia="仿宋" w:hAnsi="仿宋" w:cs="仿宋_GB2312" w:hint="eastAsia"/>
          <w:sz w:val="24"/>
        </w:rPr>
        <w:t>2.能按照医院安全等级要求的前提下在不同网络模式下实现在线式或非在线式的数据交互功能；</w:t>
      </w:r>
    </w:p>
    <w:p w:rsidR="002B46EF" w:rsidRPr="00CC6A75" w:rsidRDefault="002B46EF" w:rsidP="00CC6A75">
      <w:pPr>
        <w:snapToGrid w:val="0"/>
        <w:jc w:val="left"/>
        <w:rPr>
          <w:rFonts w:ascii="仿宋" w:eastAsia="仿宋" w:hAnsi="仿宋" w:cs="仿宋_GB2312"/>
          <w:sz w:val="24"/>
        </w:rPr>
      </w:pPr>
      <w:r w:rsidRPr="00CC6A75">
        <w:rPr>
          <w:rFonts w:ascii="仿宋" w:eastAsia="仿宋" w:hAnsi="仿宋" w:cs="仿宋_GB2312" w:hint="eastAsia"/>
          <w:sz w:val="24"/>
        </w:rPr>
        <w:t>3.严格禁止外送委托检验信息系统直接通过非正常途径写入医院现有LIS数据库的操作；</w:t>
      </w:r>
    </w:p>
    <w:p w:rsidR="002B46EF" w:rsidRPr="00CC6A75" w:rsidRDefault="002B46EF" w:rsidP="00CC6A75">
      <w:pPr>
        <w:snapToGrid w:val="0"/>
        <w:jc w:val="left"/>
        <w:rPr>
          <w:rFonts w:ascii="仿宋" w:eastAsia="仿宋" w:hAnsi="仿宋" w:cs="仿宋_GB2312"/>
          <w:sz w:val="24"/>
        </w:rPr>
      </w:pPr>
      <w:r w:rsidRPr="00CC6A75">
        <w:rPr>
          <w:rFonts w:ascii="仿宋" w:eastAsia="仿宋" w:hAnsi="仿宋" w:cs="仿宋_GB2312" w:hint="eastAsia"/>
          <w:sz w:val="24"/>
        </w:rPr>
        <w:t>4.在线式模式能支持在医院端部署数据库通过中间体软件实现数据的交互功能；</w:t>
      </w:r>
    </w:p>
    <w:p w:rsidR="002B46EF" w:rsidRPr="00CC6A75" w:rsidRDefault="002B46EF" w:rsidP="00CC6A75">
      <w:pPr>
        <w:snapToGrid w:val="0"/>
        <w:jc w:val="left"/>
        <w:rPr>
          <w:rFonts w:ascii="仿宋" w:eastAsia="仿宋" w:hAnsi="仿宋" w:cs="仿宋_GB2312"/>
          <w:sz w:val="24"/>
        </w:rPr>
      </w:pPr>
      <w:r w:rsidRPr="00CC6A75">
        <w:rPr>
          <w:rFonts w:ascii="仿宋" w:eastAsia="仿宋" w:hAnsi="仿宋" w:cs="仿宋_GB2312" w:hint="eastAsia"/>
          <w:sz w:val="24"/>
        </w:rPr>
        <w:t>5.非在线式模式支持由医院LIS系统检验申请导出给外送委托检验信息系统使用的功能；</w:t>
      </w:r>
    </w:p>
    <w:p w:rsidR="002B46EF" w:rsidRPr="00CC6A75" w:rsidRDefault="002B46EF" w:rsidP="00CC6A75">
      <w:pPr>
        <w:snapToGrid w:val="0"/>
        <w:jc w:val="left"/>
        <w:rPr>
          <w:rFonts w:ascii="仿宋" w:eastAsia="仿宋" w:hAnsi="仿宋" w:cs="仿宋_GB2312"/>
          <w:sz w:val="24"/>
        </w:rPr>
      </w:pPr>
      <w:r w:rsidRPr="00CC6A75">
        <w:rPr>
          <w:rFonts w:ascii="仿宋" w:eastAsia="仿宋" w:hAnsi="仿宋" w:cs="仿宋_GB2312" w:hint="eastAsia"/>
          <w:sz w:val="24"/>
        </w:rPr>
        <w:t>6.非在线式模式具有外送委托检验信息系统返回检验结果文件，由医院LIS系统</w:t>
      </w:r>
      <w:r w:rsidRPr="00CC6A75">
        <w:rPr>
          <w:rFonts w:ascii="仿宋" w:eastAsia="仿宋" w:hAnsi="仿宋" w:cs="仿宋_GB2312" w:hint="eastAsia"/>
          <w:sz w:val="24"/>
        </w:rPr>
        <w:lastRenderedPageBreak/>
        <w:t>导入使用的功能；</w:t>
      </w:r>
    </w:p>
    <w:p w:rsidR="002B46EF" w:rsidRPr="00CC6A75" w:rsidRDefault="002B46EF" w:rsidP="00CC6A75">
      <w:pPr>
        <w:snapToGrid w:val="0"/>
        <w:jc w:val="left"/>
        <w:rPr>
          <w:rFonts w:ascii="仿宋" w:eastAsia="仿宋" w:hAnsi="仿宋" w:cs="仿宋_GB2312"/>
          <w:sz w:val="24"/>
        </w:rPr>
      </w:pPr>
      <w:r w:rsidRPr="00CC6A75">
        <w:rPr>
          <w:rFonts w:ascii="仿宋" w:eastAsia="仿宋" w:hAnsi="仿宋" w:cs="仿宋_GB2312" w:hint="eastAsia"/>
          <w:sz w:val="24"/>
        </w:rPr>
        <w:t>7.非在线式模式医院LIS系统检验申请导出的文件格式为CSV格式，内容依次应包含：医院标本条码、病案号、姓名、性别、年龄、样本类型、床号、申请时间、申请医生、申请科室、诊断、医嘱代码、医嘱名称、外送委托条形码、收件时间、数量、标本备注；</w:t>
      </w:r>
    </w:p>
    <w:p w:rsidR="002B46EF" w:rsidRPr="00CC6A75" w:rsidRDefault="002B46EF" w:rsidP="00CC6A75">
      <w:pPr>
        <w:snapToGrid w:val="0"/>
        <w:jc w:val="left"/>
        <w:rPr>
          <w:rFonts w:ascii="仿宋" w:eastAsia="仿宋" w:hAnsi="仿宋" w:cs="仿宋_GB2312"/>
          <w:sz w:val="24"/>
        </w:rPr>
      </w:pPr>
      <w:r w:rsidRPr="00CC6A75">
        <w:rPr>
          <w:rFonts w:ascii="仿宋" w:eastAsia="仿宋" w:hAnsi="仿宋" w:cs="仿宋_GB2312" w:hint="eastAsia"/>
          <w:sz w:val="24"/>
        </w:rPr>
        <w:t>8.非在线式模式外送委托检验信息系统返回检验结果文件格式为XLS格式，内容依次应包含：外送委托条形码、姓名、性别、检验工号、检验者、接收时间、审核工号、审核者、审核时间、项目编号、项目名称、结果、提示、参考值、单位、检查时间、样本类型、病人年龄、临床诊断、医院标本条码、备注；</w:t>
      </w:r>
    </w:p>
    <w:p w:rsidR="002B46EF" w:rsidRPr="00CC6A75" w:rsidRDefault="002B46EF" w:rsidP="00CC6A75">
      <w:pPr>
        <w:snapToGrid w:val="0"/>
        <w:jc w:val="left"/>
        <w:rPr>
          <w:rFonts w:ascii="仿宋" w:eastAsia="仿宋" w:hAnsi="仿宋" w:cs="仿宋_GB2312"/>
          <w:sz w:val="24"/>
        </w:rPr>
      </w:pPr>
      <w:r w:rsidRPr="00CC6A75">
        <w:rPr>
          <w:rFonts w:ascii="仿宋" w:eastAsia="仿宋" w:hAnsi="仿宋" w:cs="仿宋_GB2312" w:hint="eastAsia"/>
          <w:sz w:val="24"/>
        </w:rPr>
        <w:t>9.外送委托检验信息系统具有导出检验项目清单以及检验申请项目和检验报告项目关系的功能；</w:t>
      </w:r>
    </w:p>
    <w:p w:rsidR="002B46EF" w:rsidRPr="00CC6A75" w:rsidRDefault="002B46EF" w:rsidP="00CC6A75">
      <w:pPr>
        <w:snapToGrid w:val="0"/>
        <w:jc w:val="left"/>
        <w:rPr>
          <w:rFonts w:ascii="仿宋" w:eastAsia="仿宋" w:hAnsi="仿宋" w:cs="仿宋_GB2312"/>
          <w:sz w:val="24"/>
        </w:rPr>
      </w:pPr>
      <w:r w:rsidRPr="00CC6A75">
        <w:rPr>
          <w:rFonts w:ascii="仿宋" w:eastAsia="仿宋" w:hAnsi="仿宋" w:cs="仿宋_GB2312" w:hint="eastAsia"/>
          <w:sz w:val="24"/>
        </w:rPr>
        <w:t>10.外送委托检验信息系统具有导出检验报告项目一般参考值和特殊参考值（如性别、年龄等）的功能；</w:t>
      </w:r>
    </w:p>
    <w:p w:rsidR="002B46EF" w:rsidRPr="00CC6A75" w:rsidRDefault="002B46EF" w:rsidP="00CC6A75">
      <w:pPr>
        <w:snapToGrid w:val="0"/>
        <w:jc w:val="left"/>
        <w:rPr>
          <w:rFonts w:ascii="仿宋" w:eastAsia="仿宋" w:hAnsi="仿宋" w:cs="仿宋_GB2312"/>
          <w:sz w:val="24"/>
        </w:rPr>
      </w:pPr>
      <w:r w:rsidRPr="00CC6A75">
        <w:rPr>
          <w:rFonts w:ascii="仿宋" w:eastAsia="仿宋" w:hAnsi="仿宋" w:cs="仿宋_GB2312" w:hint="eastAsia"/>
          <w:sz w:val="24"/>
        </w:rPr>
        <w:t>11.外送委托检验信息系统具有导出报告人员和审核人员清单和签名图片的功能；</w:t>
      </w:r>
    </w:p>
    <w:p w:rsidR="002B46EF" w:rsidRPr="00CC6A75" w:rsidRDefault="002B46EF" w:rsidP="00CC6A75">
      <w:pPr>
        <w:snapToGrid w:val="0"/>
        <w:jc w:val="left"/>
        <w:rPr>
          <w:rFonts w:ascii="仿宋" w:eastAsia="仿宋" w:hAnsi="仿宋" w:cs="仿宋_GB2312"/>
          <w:sz w:val="24"/>
        </w:rPr>
      </w:pPr>
      <w:r w:rsidRPr="00CC6A75">
        <w:rPr>
          <w:rFonts w:ascii="仿宋" w:eastAsia="仿宋" w:hAnsi="仿宋" w:cs="仿宋_GB2312" w:hint="eastAsia"/>
          <w:sz w:val="24"/>
        </w:rPr>
        <w:t>12.须承担与医院现有LIS等相关系统的对接责任，由此产生的所有费用需由中标方全额承担。</w:t>
      </w:r>
    </w:p>
    <w:p w:rsidR="002B46EF" w:rsidRPr="00CC6A75" w:rsidRDefault="002B46EF" w:rsidP="00CC6A75">
      <w:pPr>
        <w:snapToGrid w:val="0"/>
        <w:jc w:val="left"/>
        <w:rPr>
          <w:rFonts w:ascii="仿宋" w:eastAsia="仿宋" w:hAnsi="仿宋" w:cs="仿宋_GB2312"/>
          <w:sz w:val="24"/>
        </w:rPr>
      </w:pPr>
      <w:r w:rsidRPr="00CC6A75">
        <w:rPr>
          <w:rFonts w:ascii="仿宋" w:eastAsia="仿宋" w:hAnsi="仿宋" w:cs="仿宋_GB2312" w:hint="eastAsia"/>
          <w:b/>
          <w:sz w:val="24"/>
        </w:rPr>
        <w:t>齐贤、钱清、马鞍：</w:t>
      </w:r>
      <w:r w:rsidRPr="00CC6A75">
        <w:rPr>
          <w:rFonts w:ascii="仿宋" w:eastAsia="仿宋" w:hAnsi="仿宋" w:cs="仿宋_GB2312" w:hint="eastAsia"/>
          <w:sz w:val="24"/>
        </w:rPr>
        <w:t>卫宁健康实验室信息管理软件V5.0（LIS5.0）</w:t>
      </w:r>
    </w:p>
    <w:p w:rsidR="002B46EF" w:rsidRDefault="002B46EF" w:rsidP="00CC6A75">
      <w:pPr>
        <w:snapToGrid w:val="0"/>
        <w:jc w:val="left"/>
        <w:rPr>
          <w:rFonts w:ascii="仿宋" w:eastAsia="仿宋" w:hAnsi="仿宋" w:cs="仿宋_GB2312" w:hint="eastAsia"/>
          <w:sz w:val="24"/>
        </w:rPr>
      </w:pPr>
      <w:r w:rsidRPr="00CC6A75">
        <w:rPr>
          <w:rFonts w:ascii="仿宋" w:eastAsia="仿宋" w:hAnsi="仿宋" w:cs="仿宋_GB2312" w:hint="eastAsia"/>
          <w:b/>
          <w:sz w:val="24"/>
        </w:rPr>
        <w:t>柯桥分院、安昌、杨汛桥：</w:t>
      </w:r>
      <w:r w:rsidRPr="00CC6A75">
        <w:rPr>
          <w:rFonts w:ascii="仿宋" w:eastAsia="仿宋" w:hAnsi="仿宋" w:cs="仿宋_GB2312" w:hint="eastAsia"/>
          <w:sz w:val="24"/>
        </w:rPr>
        <w:t>卫宁健康区域检验信息管理系统（RLIMS）</w:t>
      </w:r>
    </w:p>
    <w:p w:rsidR="004B1579" w:rsidRDefault="004B1579" w:rsidP="00CC6A75">
      <w:pPr>
        <w:snapToGrid w:val="0"/>
        <w:jc w:val="left"/>
        <w:rPr>
          <w:rFonts w:ascii="仿宋" w:eastAsia="仿宋" w:hAnsi="仿宋" w:cs="仿宋_GB2312" w:hint="eastAsia"/>
          <w:sz w:val="24"/>
        </w:rPr>
      </w:pPr>
    </w:p>
    <w:p w:rsidR="004B1579" w:rsidRDefault="004B1579" w:rsidP="004B1579">
      <w:pPr>
        <w:snapToGrid w:val="0"/>
        <w:spacing w:line="360" w:lineRule="auto"/>
        <w:ind w:leftChars="57" w:left="120" w:firstLineChars="150" w:firstLine="480"/>
        <w:jc w:val="center"/>
        <w:rPr>
          <w:rFonts w:ascii="仿宋" w:eastAsia="仿宋" w:hAnsi="仿宋" w:cs="仿宋" w:hint="eastAsia"/>
          <w:b/>
          <w:sz w:val="32"/>
        </w:rPr>
      </w:pPr>
      <w:r>
        <w:rPr>
          <w:rFonts w:ascii="仿宋" w:eastAsia="仿宋" w:hAnsi="仿宋" w:cs="仿宋" w:hint="eastAsia"/>
          <w:b/>
          <w:sz w:val="32"/>
        </w:rPr>
        <w:t>具体评标标准</w:t>
      </w:r>
    </w:p>
    <w:p w:rsidR="004B1579" w:rsidRPr="004B1579" w:rsidRDefault="004B1579" w:rsidP="004B1579">
      <w:pPr>
        <w:rPr>
          <w:rFonts w:ascii="宋体" w:hAnsi="宋体" w:cs="仿宋" w:hint="eastAsia"/>
          <w:szCs w:val="21"/>
        </w:rPr>
      </w:pPr>
      <w:bookmarkStart w:id="5" w:name="gxebd_pack_1_EvalFactorAccordEnd"/>
      <w:bookmarkEnd w:id="5"/>
      <w:r w:rsidRPr="004B1579">
        <w:rPr>
          <w:rFonts w:ascii="宋体" w:hAnsi="宋体" w:cs="仿宋" w:hint="eastAsia"/>
          <w:szCs w:val="21"/>
        </w:rPr>
        <w:t>21.商务技术分（60分）</w:t>
      </w:r>
    </w:p>
    <w:tbl>
      <w:tblPr>
        <w:tblW w:w="1015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294"/>
        <w:gridCol w:w="7957"/>
        <w:gridCol w:w="904"/>
      </w:tblGrid>
      <w:tr w:rsidR="004B1579" w:rsidRPr="004B1579" w:rsidTr="00A05E60">
        <w:trPr>
          <w:trHeight w:val="380"/>
          <w:jc w:val="center"/>
        </w:trPr>
        <w:tc>
          <w:tcPr>
            <w:tcW w:w="1294" w:type="dxa"/>
            <w:tcBorders>
              <w:top w:val="single" w:sz="4" w:space="0" w:color="auto"/>
              <w:left w:val="single" w:sz="4" w:space="0" w:color="auto"/>
              <w:bottom w:val="single" w:sz="6" w:space="0" w:color="auto"/>
              <w:right w:val="single" w:sz="6" w:space="0" w:color="auto"/>
            </w:tcBorders>
            <w:vAlign w:val="center"/>
          </w:tcPr>
          <w:p w:rsidR="004B1579" w:rsidRPr="004B1579" w:rsidRDefault="004B1579" w:rsidP="00A05E60">
            <w:pPr>
              <w:spacing w:line="360" w:lineRule="auto"/>
              <w:jc w:val="center"/>
              <w:rPr>
                <w:rFonts w:ascii="宋体" w:hAnsi="宋体"/>
                <w:b/>
                <w:bCs/>
                <w:szCs w:val="21"/>
              </w:rPr>
            </w:pPr>
            <w:r w:rsidRPr="004B1579">
              <w:rPr>
                <w:rFonts w:ascii="宋体" w:hAnsi="宋体" w:hint="eastAsia"/>
                <w:b/>
                <w:bCs/>
                <w:szCs w:val="21"/>
              </w:rPr>
              <w:t>评分</w:t>
            </w:r>
          </w:p>
          <w:p w:rsidR="004B1579" w:rsidRPr="004B1579" w:rsidRDefault="004B1579" w:rsidP="00A05E60">
            <w:pPr>
              <w:spacing w:line="360" w:lineRule="auto"/>
              <w:jc w:val="center"/>
              <w:rPr>
                <w:rFonts w:ascii="宋体" w:hAnsi="宋体"/>
                <w:b/>
                <w:bCs/>
                <w:szCs w:val="21"/>
              </w:rPr>
            </w:pPr>
            <w:r w:rsidRPr="004B1579">
              <w:rPr>
                <w:rFonts w:ascii="宋体" w:hAnsi="宋体" w:hint="eastAsia"/>
                <w:b/>
                <w:bCs/>
                <w:szCs w:val="21"/>
              </w:rPr>
              <w:t>内容</w:t>
            </w:r>
          </w:p>
        </w:tc>
        <w:tc>
          <w:tcPr>
            <w:tcW w:w="7957" w:type="dxa"/>
            <w:tcBorders>
              <w:top w:val="single" w:sz="4" w:space="0" w:color="auto"/>
              <w:left w:val="single" w:sz="6" w:space="0" w:color="auto"/>
              <w:bottom w:val="single" w:sz="6" w:space="0" w:color="auto"/>
              <w:right w:val="single" w:sz="6" w:space="0" w:color="auto"/>
            </w:tcBorders>
            <w:vAlign w:val="center"/>
          </w:tcPr>
          <w:p w:rsidR="004B1579" w:rsidRPr="004B1579" w:rsidRDefault="004B1579" w:rsidP="00A05E60">
            <w:pPr>
              <w:spacing w:line="360" w:lineRule="auto"/>
              <w:jc w:val="center"/>
              <w:rPr>
                <w:rFonts w:ascii="宋体" w:hAnsi="宋体"/>
                <w:b/>
                <w:szCs w:val="21"/>
              </w:rPr>
            </w:pPr>
            <w:r w:rsidRPr="004B1579">
              <w:rPr>
                <w:rFonts w:ascii="宋体" w:hAnsi="宋体" w:hint="eastAsia"/>
                <w:b/>
                <w:szCs w:val="21"/>
              </w:rPr>
              <w:t>评     分     细     则</w:t>
            </w:r>
          </w:p>
        </w:tc>
        <w:tc>
          <w:tcPr>
            <w:tcW w:w="904" w:type="dxa"/>
            <w:tcBorders>
              <w:top w:val="single" w:sz="4" w:space="0" w:color="auto"/>
              <w:left w:val="single" w:sz="6" w:space="0" w:color="auto"/>
              <w:bottom w:val="single" w:sz="6" w:space="0" w:color="auto"/>
              <w:right w:val="single" w:sz="4" w:space="0" w:color="auto"/>
            </w:tcBorders>
            <w:vAlign w:val="center"/>
          </w:tcPr>
          <w:p w:rsidR="004B1579" w:rsidRPr="004B1579" w:rsidRDefault="004B1579" w:rsidP="00A05E60">
            <w:pPr>
              <w:spacing w:line="360" w:lineRule="auto"/>
              <w:jc w:val="center"/>
              <w:rPr>
                <w:rFonts w:ascii="宋体" w:hAnsi="宋体"/>
                <w:b/>
                <w:szCs w:val="21"/>
              </w:rPr>
            </w:pPr>
            <w:r w:rsidRPr="004B1579">
              <w:rPr>
                <w:rFonts w:ascii="宋体" w:hAnsi="宋体" w:hint="eastAsia"/>
                <w:b/>
                <w:szCs w:val="21"/>
              </w:rPr>
              <w:t>分值</w:t>
            </w:r>
          </w:p>
        </w:tc>
      </w:tr>
      <w:tr w:rsidR="004B1579" w:rsidRPr="004B1579" w:rsidTr="00A05E60">
        <w:trPr>
          <w:trHeight w:val="915"/>
          <w:jc w:val="center"/>
        </w:trPr>
        <w:tc>
          <w:tcPr>
            <w:tcW w:w="1294" w:type="dxa"/>
            <w:vMerge w:val="restart"/>
            <w:tcBorders>
              <w:top w:val="single" w:sz="6" w:space="0" w:color="auto"/>
              <w:left w:val="single" w:sz="4" w:space="0" w:color="auto"/>
              <w:bottom w:val="single" w:sz="4" w:space="0" w:color="auto"/>
              <w:right w:val="single" w:sz="6" w:space="0" w:color="auto"/>
            </w:tcBorders>
            <w:vAlign w:val="center"/>
          </w:tcPr>
          <w:p w:rsidR="004B1579" w:rsidRPr="004B1579" w:rsidRDefault="004B1579" w:rsidP="00A05E60">
            <w:pPr>
              <w:jc w:val="center"/>
              <w:rPr>
                <w:rFonts w:ascii="宋体" w:hAnsi="宋体" w:cs="仿宋"/>
                <w:b/>
                <w:bCs/>
                <w:szCs w:val="21"/>
              </w:rPr>
            </w:pPr>
            <w:r w:rsidRPr="004B1579">
              <w:rPr>
                <w:rFonts w:ascii="宋体" w:hAnsi="宋体" w:cs="仿宋" w:hint="eastAsia"/>
                <w:b/>
                <w:bCs/>
                <w:szCs w:val="21"/>
              </w:rPr>
              <w:t>实验室质量控制体系（5分）</w:t>
            </w:r>
          </w:p>
        </w:tc>
        <w:tc>
          <w:tcPr>
            <w:tcW w:w="7957" w:type="dxa"/>
            <w:tcBorders>
              <w:top w:val="single" w:sz="6" w:space="0" w:color="auto"/>
              <w:left w:val="single" w:sz="6" w:space="0" w:color="auto"/>
              <w:bottom w:val="single" w:sz="4" w:space="0" w:color="auto"/>
              <w:right w:val="single" w:sz="6" w:space="0" w:color="auto"/>
            </w:tcBorders>
            <w:vAlign w:val="center"/>
          </w:tcPr>
          <w:p w:rsidR="004B1579" w:rsidRPr="004B1579" w:rsidRDefault="004B1579" w:rsidP="00A05E60">
            <w:pPr>
              <w:rPr>
                <w:rFonts w:ascii="宋体" w:hAnsi="宋体" w:cs="仿宋"/>
                <w:szCs w:val="21"/>
              </w:rPr>
            </w:pPr>
            <w:r w:rsidRPr="004B1579">
              <w:rPr>
                <w:rFonts w:ascii="宋体" w:hAnsi="宋体" w:cs="仿宋" w:hint="eastAsia"/>
                <w:szCs w:val="21"/>
              </w:rPr>
              <w:t>1.提供质量控制文件、质量保证方案、危急值报告程序，如《质量手册》、《SOP》、涉及质量保证的《程序文件》提供完整资料者得3分，不完整者得1分，不提供者得0分；</w:t>
            </w:r>
          </w:p>
        </w:tc>
        <w:tc>
          <w:tcPr>
            <w:tcW w:w="904" w:type="dxa"/>
            <w:tcBorders>
              <w:top w:val="single" w:sz="6" w:space="0" w:color="auto"/>
              <w:left w:val="single" w:sz="6" w:space="0" w:color="auto"/>
              <w:bottom w:val="single" w:sz="4" w:space="0" w:color="auto"/>
              <w:right w:val="single" w:sz="4" w:space="0" w:color="auto"/>
            </w:tcBorders>
            <w:vAlign w:val="center"/>
          </w:tcPr>
          <w:p w:rsidR="004B1579" w:rsidRPr="004B1579" w:rsidRDefault="004B1579" w:rsidP="00A05E60">
            <w:pPr>
              <w:spacing w:line="360" w:lineRule="auto"/>
              <w:jc w:val="center"/>
              <w:rPr>
                <w:rFonts w:ascii="宋体" w:hAnsi="宋体" w:cs="仿宋"/>
                <w:b/>
                <w:bCs/>
                <w:szCs w:val="21"/>
              </w:rPr>
            </w:pPr>
            <w:r w:rsidRPr="004B1579">
              <w:rPr>
                <w:rFonts w:ascii="宋体" w:hAnsi="宋体" w:cs="仿宋" w:hint="eastAsia"/>
                <w:b/>
                <w:bCs/>
                <w:szCs w:val="21"/>
              </w:rPr>
              <w:t>0-3分</w:t>
            </w:r>
          </w:p>
        </w:tc>
      </w:tr>
      <w:tr w:rsidR="004B1579" w:rsidRPr="004B1579" w:rsidTr="00A05E60">
        <w:trPr>
          <w:trHeight w:val="679"/>
          <w:jc w:val="center"/>
        </w:trPr>
        <w:tc>
          <w:tcPr>
            <w:tcW w:w="1294" w:type="dxa"/>
            <w:vMerge/>
            <w:tcBorders>
              <w:top w:val="single" w:sz="6" w:space="0" w:color="auto"/>
              <w:left w:val="single" w:sz="4" w:space="0" w:color="auto"/>
              <w:bottom w:val="single" w:sz="4" w:space="0" w:color="auto"/>
              <w:right w:val="single" w:sz="6" w:space="0" w:color="auto"/>
            </w:tcBorders>
            <w:vAlign w:val="center"/>
          </w:tcPr>
          <w:p w:rsidR="004B1579" w:rsidRPr="004B1579" w:rsidRDefault="004B1579" w:rsidP="00A05E60">
            <w:pPr>
              <w:widowControl/>
              <w:adjustRightInd/>
              <w:jc w:val="left"/>
              <w:rPr>
                <w:rFonts w:ascii="宋体" w:hAnsi="宋体" w:cs="仿宋"/>
                <w:b/>
                <w:bCs/>
                <w:szCs w:val="21"/>
              </w:rPr>
            </w:pPr>
          </w:p>
        </w:tc>
        <w:tc>
          <w:tcPr>
            <w:tcW w:w="7957" w:type="dxa"/>
            <w:tcBorders>
              <w:top w:val="single" w:sz="4" w:space="0" w:color="auto"/>
              <w:left w:val="single" w:sz="6" w:space="0" w:color="auto"/>
              <w:right w:val="single" w:sz="6" w:space="0" w:color="auto"/>
            </w:tcBorders>
            <w:vAlign w:val="center"/>
          </w:tcPr>
          <w:p w:rsidR="004B1579" w:rsidRPr="004B1579" w:rsidRDefault="004B1579" w:rsidP="00A05E60">
            <w:pPr>
              <w:rPr>
                <w:rFonts w:ascii="宋体" w:hAnsi="宋体" w:cs="仿宋"/>
                <w:szCs w:val="21"/>
              </w:rPr>
            </w:pPr>
            <w:r w:rsidRPr="004B1579">
              <w:rPr>
                <w:rFonts w:ascii="宋体" w:hAnsi="宋体" w:cs="仿宋" w:hint="eastAsia"/>
                <w:szCs w:val="21"/>
              </w:rPr>
              <w:t>2.投标人为省级及以上临检中心指定的PCR实验基地得2分，没有不得分。（提供相关证明材料并加盖投标人公章）</w:t>
            </w:r>
          </w:p>
        </w:tc>
        <w:tc>
          <w:tcPr>
            <w:tcW w:w="904" w:type="dxa"/>
            <w:tcBorders>
              <w:top w:val="single" w:sz="4" w:space="0" w:color="auto"/>
              <w:left w:val="single" w:sz="6" w:space="0" w:color="auto"/>
              <w:right w:val="single" w:sz="4" w:space="0" w:color="auto"/>
            </w:tcBorders>
            <w:vAlign w:val="center"/>
          </w:tcPr>
          <w:p w:rsidR="004B1579" w:rsidRPr="004B1579" w:rsidRDefault="004B1579" w:rsidP="00A05E60">
            <w:pPr>
              <w:spacing w:line="360" w:lineRule="auto"/>
              <w:jc w:val="center"/>
              <w:rPr>
                <w:rFonts w:ascii="宋体" w:hAnsi="宋体" w:cs="仿宋"/>
                <w:b/>
                <w:bCs/>
                <w:szCs w:val="21"/>
              </w:rPr>
            </w:pPr>
            <w:r w:rsidRPr="004B1579">
              <w:rPr>
                <w:rFonts w:ascii="宋体" w:hAnsi="宋体" w:cs="仿宋" w:hint="eastAsia"/>
                <w:b/>
                <w:bCs/>
                <w:szCs w:val="21"/>
              </w:rPr>
              <w:t>0-2分</w:t>
            </w:r>
          </w:p>
        </w:tc>
      </w:tr>
      <w:tr w:rsidR="004B1579" w:rsidRPr="004B1579" w:rsidTr="00A05E60">
        <w:trPr>
          <w:trHeight w:val="809"/>
          <w:jc w:val="center"/>
        </w:trPr>
        <w:tc>
          <w:tcPr>
            <w:tcW w:w="1294" w:type="dxa"/>
            <w:tcBorders>
              <w:top w:val="single" w:sz="4" w:space="0" w:color="auto"/>
              <w:left w:val="single" w:sz="4" w:space="0" w:color="auto"/>
              <w:bottom w:val="single" w:sz="6" w:space="0" w:color="auto"/>
              <w:right w:val="single" w:sz="6" w:space="0" w:color="auto"/>
            </w:tcBorders>
            <w:vAlign w:val="center"/>
          </w:tcPr>
          <w:p w:rsidR="004B1579" w:rsidRPr="004B1579" w:rsidRDefault="004B1579" w:rsidP="00A05E60">
            <w:pPr>
              <w:jc w:val="center"/>
              <w:rPr>
                <w:rFonts w:ascii="宋体" w:hAnsi="宋体" w:cs="仿宋"/>
                <w:b/>
                <w:bCs/>
                <w:szCs w:val="21"/>
              </w:rPr>
            </w:pPr>
            <w:r w:rsidRPr="004B1579">
              <w:rPr>
                <w:rFonts w:ascii="宋体" w:hAnsi="宋体" w:cs="仿宋" w:hint="eastAsia"/>
                <w:b/>
                <w:bCs/>
                <w:szCs w:val="21"/>
              </w:rPr>
              <w:t>人员配置（6分）</w:t>
            </w:r>
          </w:p>
        </w:tc>
        <w:tc>
          <w:tcPr>
            <w:tcW w:w="7957" w:type="dxa"/>
            <w:tcBorders>
              <w:top w:val="single" w:sz="4" w:space="0" w:color="auto"/>
              <w:left w:val="single" w:sz="6" w:space="0" w:color="auto"/>
              <w:bottom w:val="single" w:sz="6" w:space="0" w:color="auto"/>
              <w:right w:val="single" w:sz="6" w:space="0" w:color="auto"/>
            </w:tcBorders>
            <w:vAlign w:val="center"/>
          </w:tcPr>
          <w:p w:rsidR="004B1579" w:rsidRPr="004B1579" w:rsidRDefault="004B1579" w:rsidP="00A05E60">
            <w:pPr>
              <w:rPr>
                <w:rFonts w:ascii="宋体" w:hAnsi="宋体" w:cs="仿宋"/>
                <w:szCs w:val="21"/>
              </w:rPr>
            </w:pPr>
            <w:r w:rsidRPr="004B1579">
              <w:rPr>
                <w:rFonts w:ascii="宋体" w:hAnsi="宋体" w:cs="仿宋" w:hint="eastAsia"/>
                <w:szCs w:val="21"/>
              </w:rPr>
              <w:t>为本项目提供检测服务的实验室副高及以上实验室人员清单(提供职称证书及近三个月社保或聘用合同证明)，副高及以上人员:提供5名及以上得6分，3-4名得4分，1-2名得2分，没有不得分。（投标文件中提供复印件并加盖投标供应商公章）</w:t>
            </w:r>
          </w:p>
        </w:tc>
        <w:tc>
          <w:tcPr>
            <w:tcW w:w="904" w:type="dxa"/>
            <w:tcBorders>
              <w:top w:val="single" w:sz="4" w:space="0" w:color="auto"/>
              <w:left w:val="single" w:sz="6" w:space="0" w:color="auto"/>
              <w:bottom w:val="single" w:sz="6" w:space="0" w:color="auto"/>
              <w:right w:val="single" w:sz="4" w:space="0" w:color="auto"/>
            </w:tcBorders>
            <w:vAlign w:val="center"/>
          </w:tcPr>
          <w:p w:rsidR="004B1579" w:rsidRPr="004B1579" w:rsidRDefault="004B1579" w:rsidP="00A05E60">
            <w:pPr>
              <w:spacing w:line="360" w:lineRule="auto"/>
              <w:jc w:val="center"/>
              <w:rPr>
                <w:rFonts w:ascii="宋体" w:hAnsi="宋体" w:cs="仿宋"/>
                <w:b/>
                <w:bCs/>
                <w:szCs w:val="21"/>
              </w:rPr>
            </w:pPr>
            <w:r w:rsidRPr="004B1579">
              <w:rPr>
                <w:rFonts w:ascii="宋体" w:hAnsi="宋体" w:cs="仿宋" w:hint="eastAsia"/>
                <w:b/>
                <w:bCs/>
                <w:szCs w:val="21"/>
              </w:rPr>
              <w:t>0-6分</w:t>
            </w:r>
          </w:p>
        </w:tc>
      </w:tr>
      <w:tr w:rsidR="004B1579" w:rsidRPr="004B1579" w:rsidTr="00A05E60">
        <w:trPr>
          <w:trHeight w:val="1005"/>
          <w:jc w:val="center"/>
        </w:trPr>
        <w:tc>
          <w:tcPr>
            <w:tcW w:w="1294" w:type="dxa"/>
            <w:tcBorders>
              <w:top w:val="single" w:sz="6" w:space="0" w:color="auto"/>
              <w:left w:val="single" w:sz="4" w:space="0" w:color="auto"/>
              <w:bottom w:val="single" w:sz="6" w:space="0" w:color="auto"/>
              <w:right w:val="single" w:sz="6" w:space="0" w:color="auto"/>
            </w:tcBorders>
            <w:vAlign w:val="center"/>
          </w:tcPr>
          <w:p w:rsidR="004B1579" w:rsidRPr="004B1579" w:rsidRDefault="004B1579" w:rsidP="00A05E60">
            <w:pPr>
              <w:jc w:val="center"/>
              <w:rPr>
                <w:rFonts w:ascii="宋体" w:hAnsi="宋体" w:cs="仿宋"/>
                <w:szCs w:val="21"/>
              </w:rPr>
            </w:pPr>
            <w:r w:rsidRPr="004B1579">
              <w:rPr>
                <w:rFonts w:ascii="宋体" w:hAnsi="宋体" w:cs="仿宋" w:hint="eastAsia"/>
                <w:b/>
                <w:bCs/>
                <w:szCs w:val="21"/>
              </w:rPr>
              <w:t>综合检测能力（10分）</w:t>
            </w:r>
          </w:p>
        </w:tc>
        <w:tc>
          <w:tcPr>
            <w:tcW w:w="7957" w:type="dxa"/>
            <w:tcBorders>
              <w:top w:val="single" w:sz="6" w:space="0" w:color="auto"/>
              <w:left w:val="single" w:sz="6" w:space="0" w:color="auto"/>
              <w:bottom w:val="single" w:sz="6" w:space="0" w:color="auto"/>
              <w:right w:val="single" w:sz="6" w:space="0" w:color="auto"/>
            </w:tcBorders>
            <w:vAlign w:val="center"/>
          </w:tcPr>
          <w:p w:rsidR="004B1579" w:rsidRPr="004B1579" w:rsidRDefault="004B1579" w:rsidP="00A05E60">
            <w:pPr>
              <w:rPr>
                <w:rFonts w:ascii="宋体" w:hAnsi="宋体" w:cs="仿宋"/>
                <w:szCs w:val="21"/>
              </w:rPr>
            </w:pPr>
            <w:r w:rsidRPr="004B1579">
              <w:rPr>
                <w:rFonts w:ascii="宋体" w:hAnsi="宋体" w:cs="仿宋" w:hint="eastAsia"/>
                <w:szCs w:val="21"/>
              </w:rPr>
              <w:t>为本项目提供检测服务的实验室通过ISO 15189认可，包含本项目25项清单的得10分，每缺一项扣1分，扣完为止。（投标文件中提供佐证材料并加盖投标供应商公章）</w:t>
            </w:r>
          </w:p>
        </w:tc>
        <w:tc>
          <w:tcPr>
            <w:tcW w:w="904" w:type="dxa"/>
            <w:tcBorders>
              <w:top w:val="single" w:sz="6" w:space="0" w:color="auto"/>
              <w:left w:val="single" w:sz="6" w:space="0" w:color="auto"/>
              <w:bottom w:val="single" w:sz="6" w:space="0" w:color="auto"/>
              <w:right w:val="single" w:sz="4" w:space="0" w:color="auto"/>
            </w:tcBorders>
            <w:vAlign w:val="center"/>
          </w:tcPr>
          <w:p w:rsidR="004B1579" w:rsidRPr="004B1579" w:rsidRDefault="004B1579" w:rsidP="00A05E60">
            <w:pPr>
              <w:spacing w:line="360" w:lineRule="auto"/>
              <w:jc w:val="center"/>
              <w:rPr>
                <w:rFonts w:ascii="宋体" w:hAnsi="宋体" w:cs="仿宋"/>
                <w:szCs w:val="21"/>
              </w:rPr>
            </w:pPr>
            <w:r w:rsidRPr="004B1579">
              <w:rPr>
                <w:rFonts w:ascii="宋体" w:hAnsi="宋体" w:cs="仿宋" w:hint="eastAsia"/>
                <w:b/>
                <w:bCs/>
                <w:szCs w:val="21"/>
              </w:rPr>
              <w:t>0-10分</w:t>
            </w:r>
          </w:p>
        </w:tc>
      </w:tr>
      <w:tr w:rsidR="004B1579" w:rsidRPr="004B1579" w:rsidTr="00A05E60">
        <w:trPr>
          <w:trHeight w:val="1005"/>
          <w:jc w:val="center"/>
        </w:trPr>
        <w:tc>
          <w:tcPr>
            <w:tcW w:w="1294" w:type="dxa"/>
            <w:tcBorders>
              <w:top w:val="single" w:sz="6" w:space="0" w:color="auto"/>
              <w:left w:val="single" w:sz="4" w:space="0" w:color="auto"/>
              <w:bottom w:val="single" w:sz="6" w:space="0" w:color="auto"/>
              <w:right w:val="single" w:sz="6" w:space="0" w:color="auto"/>
            </w:tcBorders>
            <w:vAlign w:val="center"/>
          </w:tcPr>
          <w:p w:rsidR="004B1579" w:rsidRPr="004B1579" w:rsidRDefault="004B1579" w:rsidP="00A05E60">
            <w:pPr>
              <w:jc w:val="center"/>
              <w:rPr>
                <w:rFonts w:ascii="宋体" w:hAnsi="宋体" w:cs="仿宋"/>
                <w:szCs w:val="21"/>
              </w:rPr>
            </w:pPr>
            <w:r w:rsidRPr="004B1579">
              <w:rPr>
                <w:rFonts w:ascii="宋体" w:hAnsi="宋体" w:cs="仿宋" w:hint="eastAsia"/>
                <w:b/>
                <w:bCs/>
                <w:szCs w:val="21"/>
              </w:rPr>
              <w:lastRenderedPageBreak/>
              <w:t>运营管理、服务方案与质控保障（7分）</w:t>
            </w:r>
          </w:p>
        </w:tc>
        <w:tc>
          <w:tcPr>
            <w:tcW w:w="7957" w:type="dxa"/>
            <w:tcBorders>
              <w:top w:val="single" w:sz="6" w:space="0" w:color="auto"/>
              <w:left w:val="single" w:sz="6" w:space="0" w:color="auto"/>
              <w:bottom w:val="single" w:sz="6" w:space="0" w:color="auto"/>
              <w:right w:val="single" w:sz="6" w:space="0" w:color="auto"/>
            </w:tcBorders>
            <w:vAlign w:val="center"/>
          </w:tcPr>
          <w:p w:rsidR="004B1579" w:rsidRPr="004B1579" w:rsidRDefault="004B1579" w:rsidP="00A05E60">
            <w:pPr>
              <w:rPr>
                <w:rFonts w:ascii="宋体" w:hAnsi="宋体" w:cs="仿宋"/>
                <w:szCs w:val="21"/>
              </w:rPr>
            </w:pPr>
            <w:r w:rsidRPr="004B1579">
              <w:rPr>
                <w:rFonts w:ascii="宋体" w:hAnsi="宋体" w:cs="仿宋" w:hint="eastAsia"/>
                <w:szCs w:val="21"/>
              </w:rPr>
              <w:t>根据投标人提供的运营管理、服务方案，对投标人自身的介绍（包括管理经营模式等方面）情况、项目实施优势等因素，综合评价，方案合理、科学、操作性强得4.1-7分，方案较合理、较科学、操作性较强得2.1-4分，方案不够合理、不够科学、操作性不强得0.1-2分，不提供不得分。</w:t>
            </w:r>
          </w:p>
        </w:tc>
        <w:tc>
          <w:tcPr>
            <w:tcW w:w="904" w:type="dxa"/>
            <w:tcBorders>
              <w:top w:val="single" w:sz="6" w:space="0" w:color="auto"/>
              <w:left w:val="single" w:sz="6" w:space="0" w:color="auto"/>
              <w:bottom w:val="single" w:sz="6" w:space="0" w:color="auto"/>
              <w:right w:val="single" w:sz="4" w:space="0" w:color="auto"/>
            </w:tcBorders>
            <w:vAlign w:val="center"/>
          </w:tcPr>
          <w:p w:rsidR="004B1579" w:rsidRPr="004B1579" w:rsidRDefault="004B1579" w:rsidP="00A05E60">
            <w:pPr>
              <w:spacing w:line="360" w:lineRule="auto"/>
              <w:jc w:val="center"/>
              <w:rPr>
                <w:rFonts w:ascii="宋体" w:hAnsi="宋体" w:cs="仿宋"/>
                <w:szCs w:val="21"/>
              </w:rPr>
            </w:pPr>
            <w:r w:rsidRPr="004B1579">
              <w:rPr>
                <w:rFonts w:ascii="宋体" w:hAnsi="宋体" w:cs="仿宋" w:hint="eastAsia"/>
                <w:b/>
                <w:bCs/>
                <w:szCs w:val="21"/>
              </w:rPr>
              <w:t>0-7分</w:t>
            </w:r>
          </w:p>
        </w:tc>
      </w:tr>
      <w:tr w:rsidR="004B1579" w:rsidRPr="004B1579" w:rsidTr="00A05E60">
        <w:trPr>
          <w:trHeight w:val="1005"/>
          <w:jc w:val="center"/>
        </w:trPr>
        <w:tc>
          <w:tcPr>
            <w:tcW w:w="1294" w:type="dxa"/>
            <w:tcBorders>
              <w:top w:val="single" w:sz="6" w:space="0" w:color="auto"/>
              <w:left w:val="single" w:sz="4" w:space="0" w:color="auto"/>
              <w:bottom w:val="single" w:sz="6" w:space="0" w:color="auto"/>
              <w:right w:val="single" w:sz="6" w:space="0" w:color="auto"/>
            </w:tcBorders>
            <w:vAlign w:val="center"/>
          </w:tcPr>
          <w:p w:rsidR="004B1579" w:rsidRPr="004B1579" w:rsidRDefault="004B1579" w:rsidP="00A05E60">
            <w:pPr>
              <w:jc w:val="center"/>
              <w:rPr>
                <w:rFonts w:ascii="宋体" w:hAnsi="宋体" w:cs="仿宋"/>
                <w:szCs w:val="21"/>
              </w:rPr>
            </w:pPr>
            <w:r w:rsidRPr="004B1579">
              <w:rPr>
                <w:rFonts w:ascii="宋体" w:hAnsi="宋体" w:cs="仿宋" w:hint="eastAsia"/>
                <w:b/>
                <w:bCs/>
                <w:szCs w:val="21"/>
              </w:rPr>
              <w:t>临检中心运营经验（4分）</w:t>
            </w:r>
          </w:p>
        </w:tc>
        <w:tc>
          <w:tcPr>
            <w:tcW w:w="7957" w:type="dxa"/>
            <w:tcBorders>
              <w:top w:val="single" w:sz="6" w:space="0" w:color="auto"/>
              <w:left w:val="single" w:sz="6" w:space="0" w:color="auto"/>
              <w:bottom w:val="single" w:sz="6" w:space="0" w:color="auto"/>
              <w:right w:val="single" w:sz="6" w:space="0" w:color="auto"/>
            </w:tcBorders>
            <w:vAlign w:val="center"/>
          </w:tcPr>
          <w:p w:rsidR="004B1579" w:rsidRPr="004B1579" w:rsidRDefault="004B1579" w:rsidP="00A05E60">
            <w:pPr>
              <w:rPr>
                <w:rFonts w:ascii="宋体" w:hAnsi="宋体" w:cs="仿宋"/>
                <w:szCs w:val="21"/>
              </w:rPr>
            </w:pPr>
            <w:r w:rsidRPr="004B1579">
              <w:rPr>
                <w:rFonts w:ascii="宋体" w:hAnsi="宋体" w:cs="仿宋" w:hint="eastAsia"/>
                <w:szCs w:val="21"/>
              </w:rPr>
              <w:t>根据投标人提供近3年同类业绩评分，提供合同复印件及该合同近三个月的发票复印件，每提供一个有效合同得</w:t>
            </w:r>
            <w:r w:rsidRPr="004B1579">
              <w:rPr>
                <w:rFonts w:ascii="宋体" w:hAnsi="宋体" w:cs="仿宋"/>
                <w:szCs w:val="21"/>
              </w:rPr>
              <w:t>2</w:t>
            </w:r>
            <w:r w:rsidRPr="004B1579">
              <w:rPr>
                <w:rFonts w:ascii="宋体" w:hAnsi="宋体" w:cs="仿宋" w:hint="eastAsia"/>
                <w:szCs w:val="21"/>
              </w:rPr>
              <w:t>分，最高得4分。（合同及发票复印件需加盖投标供应商公章。）</w:t>
            </w:r>
          </w:p>
        </w:tc>
        <w:tc>
          <w:tcPr>
            <w:tcW w:w="904" w:type="dxa"/>
            <w:tcBorders>
              <w:top w:val="single" w:sz="6" w:space="0" w:color="auto"/>
              <w:left w:val="single" w:sz="6" w:space="0" w:color="auto"/>
              <w:bottom w:val="single" w:sz="6" w:space="0" w:color="auto"/>
              <w:right w:val="single" w:sz="4" w:space="0" w:color="auto"/>
            </w:tcBorders>
            <w:vAlign w:val="center"/>
          </w:tcPr>
          <w:p w:rsidR="004B1579" w:rsidRPr="004B1579" w:rsidRDefault="004B1579" w:rsidP="00A05E60">
            <w:pPr>
              <w:spacing w:line="360" w:lineRule="auto"/>
              <w:jc w:val="center"/>
              <w:rPr>
                <w:rFonts w:ascii="宋体" w:hAnsi="宋体" w:cs="仿宋"/>
                <w:szCs w:val="21"/>
              </w:rPr>
            </w:pPr>
            <w:r w:rsidRPr="004B1579">
              <w:rPr>
                <w:rFonts w:ascii="宋体" w:hAnsi="宋体" w:cs="仿宋" w:hint="eastAsia"/>
                <w:b/>
                <w:bCs/>
                <w:szCs w:val="21"/>
              </w:rPr>
              <w:t>0-4分</w:t>
            </w:r>
          </w:p>
        </w:tc>
      </w:tr>
      <w:tr w:rsidR="004B1579" w:rsidRPr="004B1579" w:rsidTr="00A05E60">
        <w:trPr>
          <w:trHeight w:val="796"/>
          <w:jc w:val="center"/>
        </w:trPr>
        <w:tc>
          <w:tcPr>
            <w:tcW w:w="1294" w:type="dxa"/>
            <w:vMerge w:val="restart"/>
            <w:tcBorders>
              <w:top w:val="single" w:sz="6" w:space="0" w:color="auto"/>
              <w:left w:val="single" w:sz="4" w:space="0" w:color="auto"/>
              <w:right w:val="single" w:sz="6" w:space="0" w:color="auto"/>
            </w:tcBorders>
            <w:vAlign w:val="center"/>
          </w:tcPr>
          <w:p w:rsidR="004B1579" w:rsidRPr="004B1579" w:rsidRDefault="004B1579" w:rsidP="00A05E60">
            <w:pPr>
              <w:jc w:val="center"/>
              <w:rPr>
                <w:rFonts w:ascii="宋体" w:hAnsi="宋体" w:cs="仿宋"/>
                <w:szCs w:val="21"/>
              </w:rPr>
            </w:pPr>
            <w:r w:rsidRPr="004B1579">
              <w:rPr>
                <w:rFonts w:ascii="宋体" w:hAnsi="宋体" w:cs="仿宋" w:hint="eastAsia"/>
                <w:b/>
                <w:bCs/>
                <w:szCs w:val="21"/>
              </w:rPr>
              <w:t>物流资质及方案（10分）</w:t>
            </w:r>
          </w:p>
        </w:tc>
        <w:tc>
          <w:tcPr>
            <w:tcW w:w="7957" w:type="dxa"/>
            <w:tcBorders>
              <w:top w:val="single" w:sz="6" w:space="0" w:color="auto"/>
              <w:left w:val="single" w:sz="6" w:space="0" w:color="auto"/>
              <w:bottom w:val="single" w:sz="4" w:space="0" w:color="auto"/>
              <w:right w:val="single" w:sz="6" w:space="0" w:color="auto"/>
            </w:tcBorders>
            <w:vAlign w:val="center"/>
          </w:tcPr>
          <w:p w:rsidR="004B1579" w:rsidRPr="004B1579" w:rsidRDefault="004B1579" w:rsidP="00A05E60">
            <w:pPr>
              <w:rPr>
                <w:rFonts w:ascii="宋体" w:hAnsi="宋体" w:cs="仿宋"/>
                <w:szCs w:val="21"/>
              </w:rPr>
            </w:pPr>
            <w:r w:rsidRPr="004B1579">
              <w:rPr>
                <w:rFonts w:ascii="宋体" w:hAnsi="宋体" w:cs="仿宋" w:hint="eastAsia"/>
                <w:szCs w:val="21"/>
              </w:rPr>
              <w:t>投标人负责提供冷链物流服务，自有及第三方均可，冷链物流公司具有医疗冷链物流营业执照及《道路运输经营许可证》者得3分；</w:t>
            </w:r>
          </w:p>
        </w:tc>
        <w:tc>
          <w:tcPr>
            <w:tcW w:w="904" w:type="dxa"/>
            <w:vMerge w:val="restart"/>
            <w:tcBorders>
              <w:top w:val="single" w:sz="6" w:space="0" w:color="auto"/>
              <w:left w:val="single" w:sz="6" w:space="0" w:color="auto"/>
              <w:right w:val="single" w:sz="4" w:space="0" w:color="auto"/>
            </w:tcBorders>
            <w:vAlign w:val="center"/>
          </w:tcPr>
          <w:p w:rsidR="004B1579" w:rsidRPr="004B1579" w:rsidRDefault="004B1579" w:rsidP="00A05E60">
            <w:pPr>
              <w:spacing w:line="360" w:lineRule="auto"/>
              <w:jc w:val="center"/>
              <w:rPr>
                <w:rFonts w:ascii="宋体" w:hAnsi="宋体" w:cs="仿宋"/>
                <w:szCs w:val="21"/>
              </w:rPr>
            </w:pPr>
            <w:r w:rsidRPr="004B1579">
              <w:rPr>
                <w:rFonts w:ascii="宋体" w:hAnsi="宋体" w:cs="仿宋" w:hint="eastAsia"/>
                <w:b/>
                <w:bCs/>
                <w:szCs w:val="21"/>
              </w:rPr>
              <w:t>0-10分</w:t>
            </w:r>
          </w:p>
        </w:tc>
      </w:tr>
      <w:tr w:rsidR="004B1579" w:rsidRPr="004B1579" w:rsidTr="00A05E60">
        <w:trPr>
          <w:trHeight w:val="510"/>
          <w:jc w:val="center"/>
        </w:trPr>
        <w:tc>
          <w:tcPr>
            <w:tcW w:w="1294" w:type="dxa"/>
            <w:vMerge/>
            <w:tcBorders>
              <w:left w:val="single" w:sz="4" w:space="0" w:color="auto"/>
              <w:bottom w:val="single" w:sz="6" w:space="0" w:color="auto"/>
              <w:right w:val="single" w:sz="6" w:space="0" w:color="auto"/>
            </w:tcBorders>
            <w:vAlign w:val="center"/>
          </w:tcPr>
          <w:p w:rsidR="004B1579" w:rsidRPr="004B1579" w:rsidRDefault="004B1579" w:rsidP="00A05E60">
            <w:pPr>
              <w:jc w:val="center"/>
              <w:rPr>
                <w:rFonts w:ascii="宋体" w:hAnsi="宋体" w:cs="仿宋" w:hint="eastAsia"/>
                <w:b/>
                <w:bCs/>
                <w:szCs w:val="21"/>
              </w:rPr>
            </w:pPr>
          </w:p>
        </w:tc>
        <w:tc>
          <w:tcPr>
            <w:tcW w:w="7957" w:type="dxa"/>
            <w:tcBorders>
              <w:top w:val="single" w:sz="4" w:space="0" w:color="auto"/>
              <w:left w:val="single" w:sz="6" w:space="0" w:color="auto"/>
              <w:bottom w:val="single" w:sz="6" w:space="0" w:color="auto"/>
              <w:right w:val="single" w:sz="6" w:space="0" w:color="auto"/>
            </w:tcBorders>
            <w:vAlign w:val="center"/>
          </w:tcPr>
          <w:p w:rsidR="004B1579" w:rsidRPr="004B1579" w:rsidRDefault="004B1579" w:rsidP="00A05E60">
            <w:pPr>
              <w:rPr>
                <w:rFonts w:ascii="宋体" w:hAnsi="宋体" w:cs="仿宋" w:hint="eastAsia"/>
                <w:szCs w:val="21"/>
              </w:rPr>
            </w:pPr>
            <w:r w:rsidRPr="004B1579">
              <w:rPr>
                <w:rFonts w:ascii="宋体" w:hAnsi="宋体" w:cs="仿宋" w:hint="eastAsia"/>
                <w:szCs w:val="21"/>
              </w:rPr>
              <w:t>根据物流方案的可行性、质量可靠性和冷链物流的便捷性由评标委员会综合打分，物流方案合理，操作性强、冷链物流便捷的得4.1-7分，物流方案较合理，操作性较强、冷链物流较便捷的得2.1-4分；物流方案一般，可操作性一般、冷链物流便捷性一般的得0.1-2分。不提供或方案不合理不得分。</w:t>
            </w:r>
          </w:p>
        </w:tc>
        <w:tc>
          <w:tcPr>
            <w:tcW w:w="904" w:type="dxa"/>
            <w:vMerge/>
            <w:tcBorders>
              <w:left w:val="single" w:sz="6" w:space="0" w:color="auto"/>
              <w:bottom w:val="single" w:sz="6" w:space="0" w:color="auto"/>
              <w:right w:val="single" w:sz="4" w:space="0" w:color="auto"/>
            </w:tcBorders>
            <w:vAlign w:val="center"/>
          </w:tcPr>
          <w:p w:rsidR="004B1579" w:rsidRPr="004B1579" w:rsidRDefault="004B1579" w:rsidP="00A05E60">
            <w:pPr>
              <w:spacing w:line="360" w:lineRule="auto"/>
              <w:jc w:val="center"/>
              <w:rPr>
                <w:rFonts w:ascii="宋体" w:hAnsi="宋体" w:cs="仿宋" w:hint="eastAsia"/>
                <w:b/>
                <w:bCs/>
                <w:szCs w:val="21"/>
              </w:rPr>
            </w:pPr>
          </w:p>
        </w:tc>
      </w:tr>
      <w:tr w:rsidR="004B1579" w:rsidRPr="004B1579" w:rsidTr="00A05E60">
        <w:trPr>
          <w:trHeight w:val="1005"/>
          <w:jc w:val="center"/>
        </w:trPr>
        <w:tc>
          <w:tcPr>
            <w:tcW w:w="1294" w:type="dxa"/>
            <w:tcBorders>
              <w:top w:val="single" w:sz="6" w:space="0" w:color="auto"/>
              <w:left w:val="single" w:sz="4" w:space="0" w:color="auto"/>
              <w:bottom w:val="single" w:sz="6" w:space="0" w:color="auto"/>
              <w:right w:val="single" w:sz="6" w:space="0" w:color="auto"/>
            </w:tcBorders>
            <w:vAlign w:val="center"/>
          </w:tcPr>
          <w:p w:rsidR="004B1579" w:rsidRPr="004B1579" w:rsidRDefault="004B1579" w:rsidP="00A05E60">
            <w:pPr>
              <w:jc w:val="center"/>
              <w:rPr>
                <w:rFonts w:ascii="宋体" w:hAnsi="宋体" w:cs="仿宋"/>
                <w:szCs w:val="21"/>
              </w:rPr>
            </w:pPr>
            <w:r w:rsidRPr="004B1579">
              <w:rPr>
                <w:rFonts w:ascii="宋体" w:hAnsi="宋体" w:cs="仿宋" w:hint="eastAsia"/>
                <w:b/>
                <w:bCs/>
                <w:szCs w:val="21"/>
              </w:rPr>
              <w:t>信息化服务方案（8分）</w:t>
            </w:r>
          </w:p>
        </w:tc>
        <w:tc>
          <w:tcPr>
            <w:tcW w:w="7957" w:type="dxa"/>
            <w:tcBorders>
              <w:top w:val="single" w:sz="6" w:space="0" w:color="auto"/>
              <w:left w:val="single" w:sz="6" w:space="0" w:color="auto"/>
              <w:bottom w:val="single" w:sz="6" w:space="0" w:color="auto"/>
              <w:right w:val="single" w:sz="6" w:space="0" w:color="auto"/>
            </w:tcBorders>
            <w:vAlign w:val="center"/>
          </w:tcPr>
          <w:p w:rsidR="004B1579" w:rsidRPr="004B1579" w:rsidRDefault="004B1579" w:rsidP="00A05E60">
            <w:pPr>
              <w:rPr>
                <w:rFonts w:ascii="宋体" w:hAnsi="宋体" w:cs="仿宋"/>
                <w:szCs w:val="21"/>
              </w:rPr>
            </w:pPr>
            <w:r w:rsidRPr="004B1579">
              <w:rPr>
                <w:rFonts w:ascii="宋体" w:hAnsi="宋体" w:cs="仿宋" w:hint="eastAsia"/>
                <w:szCs w:val="21"/>
              </w:rPr>
              <w:t>具有和LIS系统数据无缝对接能力，提供完善可行的对接方案，由专家打分：方案合理、科学、操作性强得5.1-8分，方案较合理、较科学、操作性较强得2.1-5分，方案不够合理、不够科学、操作性不强得0.1-2分，不提供不得分。</w:t>
            </w:r>
          </w:p>
        </w:tc>
        <w:tc>
          <w:tcPr>
            <w:tcW w:w="904" w:type="dxa"/>
            <w:tcBorders>
              <w:top w:val="single" w:sz="6" w:space="0" w:color="auto"/>
              <w:left w:val="single" w:sz="6" w:space="0" w:color="auto"/>
              <w:bottom w:val="single" w:sz="6" w:space="0" w:color="auto"/>
              <w:right w:val="single" w:sz="4" w:space="0" w:color="auto"/>
            </w:tcBorders>
            <w:vAlign w:val="center"/>
          </w:tcPr>
          <w:p w:rsidR="004B1579" w:rsidRPr="004B1579" w:rsidRDefault="004B1579" w:rsidP="00A05E60">
            <w:pPr>
              <w:spacing w:line="360" w:lineRule="auto"/>
              <w:jc w:val="center"/>
              <w:rPr>
                <w:rFonts w:ascii="宋体" w:hAnsi="宋体" w:cs="仿宋"/>
                <w:b/>
                <w:bCs/>
                <w:szCs w:val="21"/>
              </w:rPr>
            </w:pPr>
            <w:r w:rsidRPr="004B1579">
              <w:rPr>
                <w:rFonts w:ascii="宋体" w:hAnsi="宋体" w:cs="仿宋" w:hint="eastAsia"/>
                <w:b/>
                <w:bCs/>
                <w:szCs w:val="21"/>
              </w:rPr>
              <w:t>0-8分</w:t>
            </w:r>
          </w:p>
        </w:tc>
      </w:tr>
      <w:tr w:rsidR="004B1579" w:rsidRPr="004B1579" w:rsidTr="00A05E60">
        <w:trPr>
          <w:trHeight w:val="1430"/>
          <w:jc w:val="center"/>
        </w:trPr>
        <w:tc>
          <w:tcPr>
            <w:tcW w:w="1294" w:type="dxa"/>
            <w:tcBorders>
              <w:top w:val="single" w:sz="6" w:space="0" w:color="auto"/>
              <w:left w:val="single" w:sz="4" w:space="0" w:color="auto"/>
              <w:bottom w:val="single" w:sz="6" w:space="0" w:color="auto"/>
              <w:right w:val="single" w:sz="6" w:space="0" w:color="auto"/>
            </w:tcBorders>
            <w:vAlign w:val="center"/>
          </w:tcPr>
          <w:p w:rsidR="004B1579" w:rsidRPr="004B1579" w:rsidRDefault="004B1579" w:rsidP="00A05E60">
            <w:pPr>
              <w:jc w:val="center"/>
              <w:rPr>
                <w:rFonts w:ascii="宋体" w:hAnsi="宋体" w:cs="仿宋"/>
                <w:szCs w:val="21"/>
              </w:rPr>
            </w:pPr>
            <w:r w:rsidRPr="004B1579">
              <w:rPr>
                <w:rFonts w:ascii="宋体" w:hAnsi="宋体" w:cs="仿宋" w:hint="eastAsia"/>
                <w:b/>
                <w:bCs/>
                <w:szCs w:val="21"/>
              </w:rPr>
              <w:t>妥善处理投诉（纠纷）的方案（7分）</w:t>
            </w:r>
          </w:p>
        </w:tc>
        <w:tc>
          <w:tcPr>
            <w:tcW w:w="7957" w:type="dxa"/>
            <w:tcBorders>
              <w:top w:val="single" w:sz="6" w:space="0" w:color="auto"/>
              <w:left w:val="single" w:sz="6" w:space="0" w:color="auto"/>
              <w:bottom w:val="single" w:sz="6" w:space="0" w:color="auto"/>
              <w:right w:val="single" w:sz="6" w:space="0" w:color="auto"/>
            </w:tcBorders>
            <w:vAlign w:val="center"/>
          </w:tcPr>
          <w:p w:rsidR="004B1579" w:rsidRPr="004B1579" w:rsidRDefault="004B1579" w:rsidP="00A05E60">
            <w:pPr>
              <w:rPr>
                <w:rFonts w:ascii="宋体" w:hAnsi="宋体" w:cs="仿宋"/>
                <w:szCs w:val="21"/>
              </w:rPr>
            </w:pPr>
            <w:r w:rsidRPr="004B1579">
              <w:rPr>
                <w:rFonts w:ascii="宋体" w:hAnsi="宋体" w:cs="仿宋" w:hint="eastAsia"/>
                <w:szCs w:val="21"/>
              </w:rPr>
              <w:t>提供投诉（纠纷）的解决方案，根据方案可行性、完善性进行评分，方案合理、科学、操作性强得5.1-7分，方案较合理、较科学、操作性较强得2.1-5分，方案不够合理、不够科学、操作性不强得0.1-2分，不提供不得分。</w:t>
            </w:r>
          </w:p>
        </w:tc>
        <w:tc>
          <w:tcPr>
            <w:tcW w:w="904" w:type="dxa"/>
            <w:tcBorders>
              <w:top w:val="single" w:sz="6" w:space="0" w:color="auto"/>
              <w:left w:val="single" w:sz="6" w:space="0" w:color="auto"/>
              <w:bottom w:val="single" w:sz="6" w:space="0" w:color="auto"/>
              <w:right w:val="single" w:sz="4" w:space="0" w:color="auto"/>
            </w:tcBorders>
            <w:vAlign w:val="center"/>
          </w:tcPr>
          <w:p w:rsidR="004B1579" w:rsidRPr="004B1579" w:rsidRDefault="004B1579" w:rsidP="00A05E60">
            <w:pPr>
              <w:spacing w:line="360" w:lineRule="auto"/>
              <w:jc w:val="center"/>
              <w:rPr>
                <w:rFonts w:ascii="宋体" w:hAnsi="宋体" w:cs="仿宋"/>
                <w:szCs w:val="21"/>
              </w:rPr>
            </w:pPr>
            <w:r w:rsidRPr="004B1579">
              <w:rPr>
                <w:rFonts w:ascii="宋体" w:hAnsi="宋体" w:cs="仿宋" w:hint="eastAsia"/>
                <w:b/>
                <w:bCs/>
                <w:szCs w:val="21"/>
              </w:rPr>
              <w:t>0-7分</w:t>
            </w:r>
          </w:p>
        </w:tc>
      </w:tr>
      <w:tr w:rsidR="004B1579" w:rsidRPr="004B1579" w:rsidTr="00A05E60">
        <w:trPr>
          <w:trHeight w:val="1093"/>
          <w:jc w:val="center"/>
        </w:trPr>
        <w:tc>
          <w:tcPr>
            <w:tcW w:w="1294" w:type="dxa"/>
            <w:tcBorders>
              <w:top w:val="single" w:sz="6" w:space="0" w:color="auto"/>
              <w:left w:val="single" w:sz="4" w:space="0" w:color="auto"/>
              <w:bottom w:val="single" w:sz="4" w:space="0" w:color="auto"/>
              <w:right w:val="single" w:sz="6" w:space="0" w:color="auto"/>
            </w:tcBorders>
            <w:vAlign w:val="center"/>
          </w:tcPr>
          <w:p w:rsidR="004B1579" w:rsidRPr="004B1579" w:rsidRDefault="004B1579" w:rsidP="00A05E60">
            <w:pPr>
              <w:jc w:val="center"/>
              <w:rPr>
                <w:rFonts w:ascii="宋体" w:hAnsi="宋体" w:cs="仿宋"/>
                <w:szCs w:val="21"/>
              </w:rPr>
            </w:pPr>
            <w:r w:rsidRPr="004B1579">
              <w:rPr>
                <w:rFonts w:ascii="宋体" w:hAnsi="宋体" w:cs="仿宋" w:hint="eastAsia"/>
                <w:b/>
                <w:bCs/>
                <w:szCs w:val="21"/>
              </w:rPr>
              <w:t>增值服务方案（3分）</w:t>
            </w:r>
          </w:p>
        </w:tc>
        <w:tc>
          <w:tcPr>
            <w:tcW w:w="7957" w:type="dxa"/>
            <w:tcBorders>
              <w:top w:val="single" w:sz="6" w:space="0" w:color="auto"/>
              <w:left w:val="single" w:sz="6" w:space="0" w:color="auto"/>
              <w:right w:val="single" w:sz="6" w:space="0" w:color="auto"/>
            </w:tcBorders>
            <w:vAlign w:val="center"/>
          </w:tcPr>
          <w:p w:rsidR="004B1579" w:rsidRPr="004B1579" w:rsidRDefault="004B1579" w:rsidP="00A05E60">
            <w:pPr>
              <w:pStyle w:val="a5"/>
              <w:rPr>
                <w:rFonts w:hAnsi="宋体"/>
                <w:kern w:val="0"/>
                <w:sz w:val="21"/>
              </w:rPr>
            </w:pPr>
            <w:r w:rsidRPr="004B1579">
              <w:rPr>
                <w:rFonts w:hAnsi="宋体" w:hint="eastAsia"/>
                <w:kern w:val="0"/>
                <w:sz w:val="21"/>
              </w:rPr>
              <w:t>在配备检验资质驻点专业人员</w:t>
            </w:r>
            <w:r w:rsidRPr="004B1579">
              <w:rPr>
                <w:rFonts w:hAnsi="宋体" w:hint="eastAsia"/>
                <w:kern w:val="0"/>
                <w:sz w:val="21"/>
                <w:lang w:val="en-US"/>
              </w:rPr>
              <w:t>2</w:t>
            </w:r>
            <w:r w:rsidRPr="004B1579">
              <w:rPr>
                <w:rFonts w:hAnsi="宋体" w:hint="eastAsia"/>
                <w:kern w:val="0"/>
                <w:sz w:val="21"/>
              </w:rPr>
              <w:t>名的基础上，每增加一名检验资质专业人员驻点得</w:t>
            </w:r>
            <w:r w:rsidRPr="004B1579">
              <w:rPr>
                <w:rFonts w:hAnsi="宋体"/>
                <w:kern w:val="0"/>
                <w:sz w:val="21"/>
              </w:rPr>
              <w:t>3</w:t>
            </w:r>
            <w:r w:rsidRPr="004B1579">
              <w:rPr>
                <w:rFonts w:hAnsi="宋体" w:hint="eastAsia"/>
                <w:kern w:val="0"/>
                <w:sz w:val="21"/>
              </w:rPr>
              <w:t>分，没有不得分。（提供相关承诺）</w:t>
            </w:r>
          </w:p>
        </w:tc>
        <w:tc>
          <w:tcPr>
            <w:tcW w:w="904" w:type="dxa"/>
            <w:tcBorders>
              <w:top w:val="single" w:sz="6" w:space="0" w:color="auto"/>
              <w:left w:val="single" w:sz="6" w:space="0" w:color="auto"/>
              <w:bottom w:val="single" w:sz="4" w:space="0" w:color="auto"/>
              <w:right w:val="single" w:sz="4" w:space="0" w:color="auto"/>
            </w:tcBorders>
            <w:vAlign w:val="center"/>
          </w:tcPr>
          <w:p w:rsidR="004B1579" w:rsidRPr="004B1579" w:rsidRDefault="004B1579" w:rsidP="00A05E60">
            <w:pPr>
              <w:spacing w:line="360" w:lineRule="auto"/>
              <w:jc w:val="center"/>
              <w:rPr>
                <w:rFonts w:ascii="宋体" w:hAnsi="宋体" w:cs="仿宋"/>
                <w:szCs w:val="21"/>
              </w:rPr>
            </w:pPr>
            <w:r w:rsidRPr="004B1579">
              <w:rPr>
                <w:rFonts w:ascii="宋体" w:hAnsi="宋体" w:cs="仿宋" w:hint="eastAsia"/>
                <w:b/>
                <w:bCs/>
                <w:szCs w:val="21"/>
              </w:rPr>
              <w:t>0-3分</w:t>
            </w:r>
          </w:p>
        </w:tc>
      </w:tr>
    </w:tbl>
    <w:p w:rsidR="004B1579" w:rsidRPr="004B1579" w:rsidRDefault="004B1579" w:rsidP="004B1579">
      <w:pPr>
        <w:rPr>
          <w:rFonts w:ascii="仿宋" w:eastAsia="仿宋" w:hAnsi="仿宋" w:cs="仿宋" w:hint="eastAsia"/>
          <w:szCs w:val="21"/>
        </w:rPr>
      </w:pPr>
    </w:p>
    <w:p w:rsidR="004B1579" w:rsidRPr="004B1579" w:rsidRDefault="004B1579" w:rsidP="00CC6A75">
      <w:pPr>
        <w:snapToGrid w:val="0"/>
        <w:jc w:val="left"/>
        <w:rPr>
          <w:rFonts w:ascii="仿宋" w:eastAsia="仿宋" w:hAnsi="仿宋" w:cs="仿宋_GB2312"/>
          <w:szCs w:val="21"/>
        </w:rPr>
      </w:pPr>
    </w:p>
    <w:sectPr w:rsidR="004B1579" w:rsidRPr="004B1579" w:rsidSect="005F4B4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0497" w:rsidRPr="00C265BE" w:rsidRDefault="002C0497" w:rsidP="002B46EF">
      <w:pPr>
        <w:rPr>
          <w:rFonts w:ascii="Arial" w:eastAsia="黑体" w:hAnsi="Arial" w:cs="Arial"/>
          <w:snapToGrid w:val="0"/>
          <w:kern w:val="0"/>
          <w:szCs w:val="21"/>
        </w:rPr>
      </w:pPr>
      <w:r>
        <w:separator/>
      </w:r>
    </w:p>
  </w:endnote>
  <w:endnote w:type="continuationSeparator" w:id="1">
    <w:p w:rsidR="002C0497" w:rsidRPr="00C265BE" w:rsidRDefault="002C0497" w:rsidP="002B46EF">
      <w:pPr>
        <w:rPr>
          <w:rFonts w:ascii="Arial" w:eastAsia="黑体" w:hAnsi="Arial" w:cs="Arial"/>
          <w:snapToGrid w:val="0"/>
          <w:kern w:val="0"/>
          <w:szCs w:val="21"/>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default"/>
    <w:sig w:usb0="00000000"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0497" w:rsidRPr="00C265BE" w:rsidRDefault="002C0497" w:rsidP="002B46EF">
      <w:pPr>
        <w:rPr>
          <w:rFonts w:ascii="Arial" w:eastAsia="黑体" w:hAnsi="Arial" w:cs="Arial"/>
          <w:snapToGrid w:val="0"/>
          <w:kern w:val="0"/>
          <w:szCs w:val="21"/>
        </w:rPr>
      </w:pPr>
      <w:r>
        <w:separator/>
      </w:r>
    </w:p>
  </w:footnote>
  <w:footnote w:type="continuationSeparator" w:id="1">
    <w:p w:rsidR="002C0497" w:rsidRPr="00C265BE" w:rsidRDefault="002C0497" w:rsidP="002B46EF">
      <w:pPr>
        <w:rPr>
          <w:rFonts w:ascii="Arial" w:eastAsia="黑体" w:hAnsi="Arial" w:cs="Arial"/>
          <w:snapToGrid w:val="0"/>
          <w:kern w:val="0"/>
          <w:szCs w:val="21"/>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B46EF"/>
    <w:rsid w:val="002B46EF"/>
    <w:rsid w:val="002C0497"/>
    <w:rsid w:val="004B1579"/>
    <w:rsid w:val="005F4B47"/>
    <w:rsid w:val="00CC6A75"/>
    <w:rsid w:val="00CE70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6EF"/>
    <w:pPr>
      <w:widowControl w:val="0"/>
      <w:adjustRightInd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B46E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B46EF"/>
    <w:rPr>
      <w:sz w:val="18"/>
      <w:szCs w:val="18"/>
    </w:rPr>
  </w:style>
  <w:style w:type="paragraph" w:styleId="a4">
    <w:name w:val="footer"/>
    <w:basedOn w:val="a"/>
    <w:link w:val="Char0"/>
    <w:uiPriority w:val="99"/>
    <w:semiHidden/>
    <w:unhideWhenUsed/>
    <w:rsid w:val="002B46E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B46EF"/>
    <w:rPr>
      <w:sz w:val="18"/>
      <w:szCs w:val="18"/>
    </w:rPr>
  </w:style>
  <w:style w:type="paragraph" w:styleId="a5">
    <w:name w:val="Body Text"/>
    <w:basedOn w:val="a"/>
    <w:link w:val="Char1"/>
    <w:rsid w:val="002B46EF"/>
    <w:pPr>
      <w:autoSpaceDE w:val="0"/>
      <w:autoSpaceDN w:val="0"/>
      <w:spacing w:line="360" w:lineRule="auto"/>
    </w:pPr>
    <w:rPr>
      <w:rFonts w:ascii="宋体" w:hAnsi="Arial" w:cs="Arial"/>
      <w:snapToGrid w:val="0"/>
      <w:sz w:val="24"/>
      <w:szCs w:val="21"/>
      <w:lang w:val="zh-CN"/>
    </w:rPr>
  </w:style>
  <w:style w:type="character" w:customStyle="1" w:styleId="Char2">
    <w:name w:val="正文文本 Char"/>
    <w:basedOn w:val="a0"/>
    <w:link w:val="a5"/>
    <w:uiPriority w:val="99"/>
    <w:semiHidden/>
    <w:rsid w:val="002B46EF"/>
    <w:rPr>
      <w:rFonts w:ascii="Times New Roman" w:eastAsia="宋体" w:hAnsi="Times New Roman" w:cs="Times New Roman"/>
      <w:szCs w:val="24"/>
    </w:rPr>
  </w:style>
  <w:style w:type="character" w:customStyle="1" w:styleId="Char1">
    <w:name w:val="正文文本 Char1"/>
    <w:link w:val="a5"/>
    <w:rsid w:val="002B46EF"/>
    <w:rPr>
      <w:rFonts w:ascii="宋体" w:eastAsia="宋体" w:hAnsi="Arial" w:cs="Arial"/>
      <w:snapToGrid w:val="0"/>
      <w:sz w:val="24"/>
      <w:szCs w:val="21"/>
      <w:lang w:val="zh-CN"/>
    </w:rPr>
  </w:style>
</w:styles>
</file>

<file path=word/webSettings.xml><?xml version="1.0" encoding="utf-8"?>
<w:webSettings xmlns:r="http://schemas.openxmlformats.org/officeDocument/2006/relationships" xmlns:w="http://schemas.openxmlformats.org/wordprocessingml/2006/main">
  <w:divs>
    <w:div w:id="70294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486</Words>
  <Characters>2776</Characters>
  <Application>Microsoft Office Word</Application>
  <DocSecurity>0</DocSecurity>
  <Lines>23</Lines>
  <Paragraphs>6</Paragraphs>
  <ScaleCrop>false</ScaleCrop>
  <Company>微软中国</Company>
  <LinksUpToDate>false</LinksUpToDate>
  <CharactersWithSpaces>3256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2025-01-17T04:46:00Z</dcterms:created>
  <dcterms:modified xsi:type="dcterms:W3CDTF">2025-01-17T04:52:00Z</dcterms:modified>
</cp:coreProperties>
</file>