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D4" w:rsidRPr="00E423D4" w:rsidRDefault="00E423D4" w:rsidP="00E423D4">
      <w:pPr>
        <w:rPr>
          <w:rFonts w:ascii="仿宋" w:eastAsia="仿宋"/>
          <w:b/>
          <w:bCs/>
          <w:kern w:val="0"/>
          <w:sz w:val="44"/>
          <w:szCs w:val="44"/>
        </w:rPr>
      </w:pPr>
      <w:r w:rsidRPr="00E423D4">
        <w:rPr>
          <w:rFonts w:ascii="仿宋" w:eastAsia="仿宋" w:hint="eastAsia"/>
          <w:b/>
          <w:bCs/>
          <w:kern w:val="0"/>
          <w:sz w:val="44"/>
          <w:szCs w:val="44"/>
        </w:rPr>
        <w:t>一、中药配方颗粒服务清单目录：</w:t>
      </w:r>
    </w:p>
    <w:tbl>
      <w:tblPr>
        <w:tblW w:w="8955" w:type="dxa"/>
        <w:tblLayout w:type="fixed"/>
        <w:tblCellMar>
          <w:left w:w="0" w:type="dxa"/>
          <w:right w:w="0" w:type="dxa"/>
        </w:tblCellMar>
        <w:tblLook w:val="0000"/>
      </w:tblPr>
      <w:tblGrid>
        <w:gridCol w:w="507"/>
        <w:gridCol w:w="1484"/>
        <w:gridCol w:w="645"/>
        <w:gridCol w:w="1601"/>
        <w:gridCol w:w="661"/>
        <w:gridCol w:w="1749"/>
        <w:gridCol w:w="544"/>
        <w:gridCol w:w="1764"/>
      </w:tblGrid>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序号</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品名</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序号</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品名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序号</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品名</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序号</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品名</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巴戟天</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桑白皮</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大黄（药用大黄）</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厚朴花（厚朴）</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白芍</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桑寄生</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大腹皮（大腹皮）</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炒防风</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白术</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桑叶</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橘红</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紫草（新疆紫草）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白鲜皮</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山萸肉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浮萍</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炒芥子（芥）</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百合（卷丹）</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山楂（山里红）</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荜茇</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烫狗脊</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板蓝根</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射干</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熟大黄（药用大黄）</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月季花</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半枝莲</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升麻（大三叶升麻）</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酒大黄（药用大黄）</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五加皮</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补骨脂</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生地黄</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酒苁蓉（肉苁蓉）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柏子仁</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侧柏叶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首乌藤</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炒山楂（山里红）</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339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诃子（诃子）</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燀苦杏仁（西伯利亚杏）</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熟地黄</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猪苓</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苎麻根</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燀桃仁（桃）</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苏木</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大豆黄卷</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郁金（温郁金）</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炒白芍</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酸枣仁</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鸡冠花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绵马贯众</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炒苍耳子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烫骨碎补</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龙眼肉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酒黄精（多花黄精）</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炒苦杏仁（西伯利亚杏）</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桃仁（桃）</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西洋参</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金荞麦</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炒莱菔子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天花粉（栝楼）</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地榆炭（地榆）</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紫苏叶</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炒牛蒡子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土茯苓</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萹蓄</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山药</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炒酸枣仁</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菟丝子（南方菟丝子）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辛夷（望春花）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薏苡仁</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炒桃仁（桃）</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王不留行</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浙贝母</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黑顺片</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炒王不留行</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129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乌梅</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化橘红（柚）</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山慈菇（独蒜兰）</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炒栀子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乌药</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穿心莲</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肉豆蔻</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炒紫苏子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夏枯草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槟榔</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金莲花</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车前草（车前）</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香附</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紫苏梗</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酒地龙（参环毛蚓）</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车前子（车前）</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香橼（香圆）</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沙苑子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石菖蒲</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陈皮</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续断</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玫瑰花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决明子（钝叶决明）</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川牛膝</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玄参</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红花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仙鹤草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川射干</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旋覆花（旋覆花）</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大蓟</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炒土鳖虫（地鳖）</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川芎</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延胡索</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太子参</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麸炒衢枳壳</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醋北柴胡</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盐补骨脂</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醋五味子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地榆（地榆）</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醋青皮（个青皮）</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139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盐车前子（车前）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249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荔枝核</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槲寄生</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醋香附</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盐杜仲</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蒲黄（水烛香蒲）</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大血藤</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醋延胡索</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盐黄柏</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络石藤</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杠板归</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大青叶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盐菟丝子（南方菟丝子）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马鞭草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白花蛇舌草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lastRenderedPageBreak/>
              <w:t>33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大枣</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盐续断</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艾叶</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娑罗子（天师栗）</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丹参</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盐知母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重楼（云南重楼）</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冬瓜皮</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淡竹叶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野菊花</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炒蔓荆子（单叶蔓荆）</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炒路路通</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当归</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益母草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羌活（羌活）</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仙灵脾（淫羊藿）</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党参（党参）</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茵陈【滨蒿（绵茵陈）】</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垂盆草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草豆蔻</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地肤子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淫羊藿（淫羊藿）</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路路通</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川木通（小木通）</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独活</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149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鱼腥草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259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砂仁（阳春砂）</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369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藤梨根</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杜仲</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远志（远志）</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佩兰</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绞股蓝</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防风</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泽兰</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地骨皮（枸杞）</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山香圆叶</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防己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泽泻（泽泻）</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芦根</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预知子（三叶木通）</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粉葛</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知母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水红花子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益智仁</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佛手</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栀子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白扁豆</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藁本（藁本）</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麸炒白术</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枳壳</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覆盆子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白薇（白薇）</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麸炒苍术（北苍术）</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枳实（酸橙）</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红景天</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凌霄花（美洲凌霄）</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麸炒薏苡仁</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制巴戟天</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猫爪草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三棱</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麸炒枳实（酸橙）</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制何首乌</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瞿麦（瞿麦）</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片姜黄</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甘草（甘草）</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159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炙甘草（甘草）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269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葶苈子（播娘蒿）</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379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马齿苋</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葛根</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炙甘草（胀果甘草）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炒白扁豆</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大蓟炭</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骨碎补</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炙淫羊藿（淫羊藿）</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川楝子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黄精（多花黄精）</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广金钱草</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肿节风</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侧柏炭</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槐花（槐米）</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合欢花（合欢花）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紫花地丁</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炒川楝子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炒槐花（槐米）</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合欢皮</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紫菀</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青蒿</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石见穿（紫参）</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何首乌</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忍冬藤</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小蓟</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朱砂根</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荷叶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紫苏子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皂角刺</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炒牵牛子（裂叶牵牛）</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厚朴（厚朴）</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蛇床子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枸杞子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薤白（小根蒜）</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虎杖</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钩藤（钩藤）</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制川乌</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夏天无</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59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槐花（槐花）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169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荆芥</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279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茺蔚子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389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枳实（甜橙）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槐角</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百部（对叶百部）</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盐荔枝核</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姜半夏</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黄柏</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蜜百部（对叶百部）</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芡实</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牡丹皮</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黄连（黄连）</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桑椹</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白茅根</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法半夏</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黄芪（蒙古黄芪）</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炒火麻仁</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白头翁</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狗脊</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黄芩</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北柴胡</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炒葛根</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猫人参（对萼猕猴</w:t>
            </w:r>
            <w:r w:rsidRPr="00E423D4">
              <w:rPr>
                <w:rFonts w:hint="eastAsia"/>
              </w:rPr>
              <w:lastRenderedPageBreak/>
              <w:t>桃）</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lastRenderedPageBreak/>
              <w:t>65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火麻仁</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麸炒枳壳</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醋三棱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肉苁蓉（肉苁蓉）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鸡血藤</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赤芍（芍药）</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大腹皮</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麸炒枳实（甜橙）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姜厚朴（厚朴）</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木香</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地锦草（斑地锦）</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茯苓皮</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焦山楂（山里红）</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干姜</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地榆炭</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茜草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69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焦栀子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179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矮地茶</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289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高良姜</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399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芥子（白芥）</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金钱草</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天麻</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桂枝</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炒党参（党参）</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金银花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积雪草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金樱子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香茶菜（大萼香茶菜）</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酒苁蓉（管花肉苁蓉）</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木贼</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橘核</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透骨草</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酒丹参</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薄荷</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龙胆（坚龙胆）</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石楠叶</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酒当归</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生姜</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梅花</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楮实子</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酒黄芩</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炙黄芪（蒙古黄芪）</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拳参</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韭菜子</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酒女贞子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炒槐花（槐花）</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三七</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麸木香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酒萸肉</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刺五加</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威灵仙（东北铁线莲）</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全蝎</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桔梗</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炒蒺藜</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五倍子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卷柏（垫状卷柏）</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79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菊花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189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胡黄连</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299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细辛（北细辛）</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409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白及</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苦参</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制吴茱萸（吴茱萸）</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仙茅</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黑豆</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苦杏仁（西伯利亚杏）</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赤小豆（赤小豆）</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银柴胡</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麸炒山药</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款冬花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炮姜</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蒸萸肉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海藻（羊栖菜）</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莱菔子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白芷（白芷）</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竹茹（青秆竹）</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甜叶菊</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连翘（青翘）</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密蒙花</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栀子根</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麻黄根（草麻黄）</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灵芝（赤芝）</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赤芍（川赤芍）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老鹳草（野老鹳草）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当归尾</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龙胆（龙胆）</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制远志（远志）</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茯苓</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制天南星（天南星）</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罗布麻叶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石榴皮</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伸筋草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白果仁</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麻黄（草麻黄）</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麦冬（川麦冬）</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石韦（庐山石韦）</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海金沙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89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蜜百合（卷丹）</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199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桑枝</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309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西青果</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419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威灵仙（威灵仙）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90</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蜜槐角</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200</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罗汉果</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310</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天葵子</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玉竹</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91</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蜜款冬花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201</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小蓟炭</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311</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瓜蒌皮（双边栝楼）</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六月雪（白马骨）</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92</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蜜麻黄（草麻黄）</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202</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麦冬（浙麦冬）</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312</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小茴香</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木通（三叶木通）</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93</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蜜枇杷叶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203</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山豆根</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313</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天冬</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扁豆花</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94</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蜜桑白皮</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204</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金樱子肉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314</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徐长卿</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麦芽</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95</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蜜旋覆花（旋覆花）</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205</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酒白芍</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315</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牵牛子（裂叶牵牛）</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醋龟甲</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96</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蜜紫菀</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206</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青皮（个青皮）</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316</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燀桃仁（山桃）</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丁香</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lastRenderedPageBreak/>
              <w:t>97</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墨旱莲</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207</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五味子</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317</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浙金钱草</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九节菖蒲</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98</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木蝴蝶</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208</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鹿衔草（鹿蹄草）</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318</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玉米须</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浙土牛膝</w:t>
            </w:r>
          </w:p>
        </w:tc>
      </w:tr>
      <w:tr w:rsidR="00E423D4" w:rsidRPr="00E423D4" w:rsidTr="00216A30">
        <w:trPr>
          <w:trHeight w:val="270"/>
        </w:trPr>
        <w:tc>
          <w:tcPr>
            <w:tcW w:w="5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99</w:t>
            </w:r>
          </w:p>
        </w:tc>
        <w:tc>
          <w:tcPr>
            <w:tcW w:w="14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牛蒡子</w:t>
            </w:r>
          </w:p>
        </w:tc>
        <w:tc>
          <w:tcPr>
            <w:tcW w:w="6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209</w:t>
            </w:r>
          </w:p>
        </w:tc>
        <w:tc>
          <w:tcPr>
            <w:tcW w:w="1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瓜蒌（栝楼）</w:t>
            </w:r>
          </w:p>
        </w:tc>
        <w:tc>
          <w:tcPr>
            <w:tcW w:w="66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319</w:t>
            </w:r>
          </w:p>
        </w:tc>
        <w:tc>
          <w:tcPr>
            <w:tcW w:w="1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大黄（掌叶大黄）</w:t>
            </w:r>
          </w:p>
        </w:tc>
        <w:tc>
          <w:tcPr>
            <w:tcW w:w="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429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423D4" w:rsidRPr="00E423D4" w:rsidRDefault="00E423D4" w:rsidP="00E423D4">
            <w:r w:rsidRPr="00E423D4">
              <w:rPr>
                <w:rFonts w:hint="eastAsia"/>
              </w:rPr>
              <w:t>烫水蛭（蚂蟥）</w:t>
            </w:r>
          </w:p>
        </w:tc>
      </w:tr>
    </w:tbl>
    <w:p w:rsidR="008D5333" w:rsidRDefault="008D5333" w:rsidP="008D5333">
      <w:pPr>
        <w:widowControl/>
        <w:snapToGrid w:val="0"/>
        <w:spacing w:line="360" w:lineRule="auto"/>
        <w:rPr>
          <w:rFonts w:ascii="仿宋" w:eastAsia="仿宋"/>
          <w:b/>
          <w:kern w:val="0"/>
          <w:sz w:val="24"/>
        </w:rPr>
      </w:pPr>
      <w:r>
        <w:rPr>
          <w:rFonts w:ascii="仿宋" w:eastAsia="仿宋" w:hint="eastAsia"/>
          <w:b/>
          <w:kern w:val="0"/>
          <w:sz w:val="24"/>
        </w:rPr>
        <w:t>备注：投标人需提供上述目录内所有产品（包含但不仅限于此目录）。</w:t>
      </w:r>
    </w:p>
    <w:p w:rsidR="008D5333" w:rsidRDefault="008D5333" w:rsidP="008D5333">
      <w:pPr>
        <w:widowControl/>
        <w:snapToGrid w:val="0"/>
        <w:spacing w:line="360" w:lineRule="auto"/>
        <w:rPr>
          <w:rFonts w:ascii="仿宋" w:eastAsia="仿宋"/>
          <w:b/>
          <w:bCs/>
          <w:kern w:val="0"/>
          <w:sz w:val="24"/>
        </w:rPr>
      </w:pPr>
    </w:p>
    <w:p w:rsidR="008D5333" w:rsidRPr="008D5333" w:rsidRDefault="008D5333" w:rsidP="008D5333">
      <w:pPr>
        <w:widowControl/>
        <w:snapToGrid w:val="0"/>
        <w:spacing w:line="360" w:lineRule="auto"/>
        <w:rPr>
          <w:rFonts w:ascii="仿宋" w:eastAsia="仿宋"/>
          <w:b/>
          <w:bCs/>
          <w:kern w:val="0"/>
          <w:sz w:val="44"/>
          <w:szCs w:val="44"/>
        </w:rPr>
      </w:pPr>
      <w:r w:rsidRPr="008D5333">
        <w:rPr>
          <w:rFonts w:ascii="仿宋" w:eastAsia="仿宋" w:hint="eastAsia"/>
          <w:b/>
          <w:bCs/>
          <w:kern w:val="0"/>
          <w:sz w:val="44"/>
          <w:szCs w:val="44"/>
        </w:rPr>
        <w:t>二、中药配方颗粒要求</w:t>
      </w:r>
      <w:r w:rsidRPr="008D5333">
        <w:rPr>
          <w:rFonts w:ascii="仿宋" w:eastAsia="仿宋" w:hint="eastAsia"/>
          <w:b/>
          <w:kern w:val="0"/>
          <w:sz w:val="44"/>
          <w:szCs w:val="44"/>
        </w:rPr>
        <w:t>：</w:t>
      </w:r>
    </w:p>
    <w:p w:rsidR="008D5333" w:rsidRPr="008D5333" w:rsidRDefault="008D5333" w:rsidP="008D5333">
      <w:pPr>
        <w:spacing w:line="360" w:lineRule="auto"/>
        <w:jc w:val="left"/>
        <w:rPr>
          <w:rFonts w:ascii="仿宋" w:eastAsia="仿宋" w:hAnsi="仿宋" w:cs="仿宋"/>
          <w:sz w:val="28"/>
          <w:szCs w:val="28"/>
        </w:rPr>
      </w:pPr>
      <w:r w:rsidRPr="008D5333">
        <w:rPr>
          <w:rFonts w:ascii="仿宋" w:eastAsia="仿宋" w:hint="eastAsia"/>
          <w:kern w:val="0"/>
          <w:sz w:val="28"/>
          <w:szCs w:val="28"/>
        </w:rPr>
        <w:t>1.</w:t>
      </w:r>
      <w:r w:rsidRPr="008D5333">
        <w:rPr>
          <w:rFonts w:ascii="仿宋" w:eastAsia="仿宋" w:hAnsi="仿宋" w:cs="仿宋" w:hint="eastAsia"/>
          <w:sz w:val="28"/>
          <w:szCs w:val="28"/>
        </w:rPr>
        <w:t>合同期内，遇国家相关政策调整，双方可就相关事宜进行协商，并签订补充协议；若协商不成的，招标人有权单方解除合同，重新组织招标。合同期间如遇有上级部门集中招标采购规定的，按上级部门规定执行，本期合同自然终止。</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2.必须保证所供应的中药配方颗粒是合法、合格药品；保证所供应的中药配方颗粒到货入库的剩余有效期不少于1.5年，并保证有效期内的中药配方颗粒的质量。</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3.招标人仅负责提供相关场地及日常水电，中标人应自行准备与招标人使用规模相适应的、与中药配方颗粒相配套的调剂设备（调剂设备≥4套</w:t>
      </w:r>
      <w:r w:rsidRPr="008D5333">
        <w:rPr>
          <w:rFonts w:hint="eastAsia"/>
          <w:sz w:val="22"/>
          <w:szCs w:val="28"/>
        </w:rPr>
        <w:t>，</w:t>
      </w:r>
      <w:r w:rsidRPr="008D5333">
        <w:rPr>
          <w:rFonts w:ascii="仿宋" w:eastAsia="仿宋" w:hint="eastAsia"/>
          <w:kern w:val="0"/>
          <w:sz w:val="28"/>
          <w:szCs w:val="28"/>
        </w:rPr>
        <w:t>保证最新型号并承诺及时更新（附承诺书））与人员，并负责智能中药房的装修、与配方颗粒剂相关的信息化建设，以及配备足够的具备专业资质的调剂人员（调剂人员≥5名），要满足招标人临床实际需求，确保中标产品正常使用。调剂人员应当接受招标人管理。智能中药房的配套调剂设备、装修、信息化建设、调剂人员等均包含在投标报价中。</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4.有保证智能中药房规范运行的工作流程和保证智能中药房规范运行的管理制度，并接受招标人监管。</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5.</w:t>
      </w:r>
      <w:r w:rsidRPr="008D5333">
        <w:rPr>
          <w:rFonts w:ascii="仿宋" w:eastAsia="仿宋" w:hAnsi="仿宋" w:cs="仿宋" w:hint="eastAsia"/>
          <w:sz w:val="28"/>
          <w:szCs w:val="28"/>
        </w:rPr>
        <w:t>年采购预算及目录为预估值，具体数量、金额根据医院实际需求确定。</w:t>
      </w:r>
      <w:r w:rsidRPr="008D5333">
        <w:rPr>
          <w:rFonts w:ascii="仿宋" w:eastAsia="仿宋" w:hint="eastAsia"/>
          <w:kern w:val="0"/>
          <w:sz w:val="28"/>
          <w:szCs w:val="28"/>
        </w:rPr>
        <w:t>提供其经营配方颗粒基本目录，并保证此目录内的配方颗粒在采购周期内可持续供货。</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lastRenderedPageBreak/>
        <w:t>6.质量合格率100%；药品满足率100%；缺货率＜1%；当出现缺货情况，必须提前与采购科室报备，原则上缺货品种在5个工作日内补齐。</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7.投标方须承担运输、退换（距药品有效期6个月的或破损的药品）等费用。</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8.调试所需专用工具设施物料、设备等由中标人自备、自费运到现场，完工后及时清场，如发生人员意外损伤，由中标单位自行承担。</w:t>
      </w:r>
    </w:p>
    <w:p w:rsidR="008D5333" w:rsidRPr="008D5333" w:rsidRDefault="008D5333" w:rsidP="008D5333">
      <w:pPr>
        <w:widowControl/>
        <w:snapToGrid w:val="0"/>
        <w:spacing w:line="360" w:lineRule="auto"/>
        <w:rPr>
          <w:rFonts w:ascii="仿宋" w:eastAsia="仿宋"/>
          <w:kern w:val="0"/>
          <w:sz w:val="28"/>
          <w:szCs w:val="28"/>
        </w:rPr>
      </w:pPr>
      <w:r w:rsidRPr="008D5333">
        <w:rPr>
          <w:rFonts w:ascii="仿宋" w:eastAsia="仿宋" w:hint="eastAsia"/>
          <w:kern w:val="0"/>
          <w:sz w:val="28"/>
          <w:szCs w:val="28"/>
        </w:rPr>
        <w:t>9.对于经营品种基本目录外的颗粒剂，采购人有需求的，中标人不得拒绝供应，应积极组织调拨货源，在5个工作日内组织到货，市场上确无货源的除外。</w:t>
      </w:r>
    </w:p>
    <w:p w:rsidR="008D5333" w:rsidRPr="008D5333" w:rsidRDefault="008D5333" w:rsidP="008D5333">
      <w:pPr>
        <w:spacing w:line="360" w:lineRule="auto"/>
        <w:jc w:val="left"/>
        <w:rPr>
          <w:rFonts w:ascii="仿宋" w:eastAsia="仿宋" w:hAnsi="仿宋" w:cs="仿宋"/>
          <w:sz w:val="28"/>
          <w:szCs w:val="28"/>
        </w:rPr>
      </w:pPr>
      <w:r w:rsidRPr="008D5333">
        <w:rPr>
          <w:rFonts w:ascii="仿宋" w:eastAsia="仿宋" w:hint="eastAsia"/>
          <w:kern w:val="0"/>
          <w:sz w:val="28"/>
          <w:szCs w:val="28"/>
        </w:rPr>
        <w:t>10.</w:t>
      </w:r>
      <w:r w:rsidRPr="008D5333">
        <w:rPr>
          <w:rFonts w:ascii="仿宋" w:eastAsia="仿宋" w:hAnsi="仿宋" w:cs="仿宋" w:hint="eastAsia"/>
          <w:sz w:val="28"/>
          <w:szCs w:val="28"/>
        </w:rPr>
        <w:t>投标人对招标方不明原因（非院方及患者原因或产品质量问题）引起的医疗投诉、纠纷，能协助招标方做好患者的协调工作，并承担一定的处理费用。</w:t>
      </w:r>
    </w:p>
    <w:p w:rsidR="008D5333" w:rsidRPr="008D5333" w:rsidRDefault="008D5333" w:rsidP="008D5333">
      <w:pPr>
        <w:rPr>
          <w:sz w:val="22"/>
          <w:szCs w:val="28"/>
        </w:rPr>
      </w:pPr>
      <w:bookmarkStart w:id="0" w:name="_GoBack"/>
      <w:bookmarkEnd w:id="0"/>
    </w:p>
    <w:p w:rsidR="00800F47" w:rsidRPr="008D5333" w:rsidRDefault="00800F47" w:rsidP="0018331C">
      <w:pPr>
        <w:snapToGrid w:val="0"/>
        <w:spacing w:line="360" w:lineRule="auto"/>
        <w:jc w:val="left"/>
        <w:rPr>
          <w:rFonts w:ascii="仿宋" w:eastAsia="仿宋"/>
          <w:b/>
          <w:bCs/>
          <w:kern w:val="0"/>
          <w:sz w:val="48"/>
          <w:szCs w:val="48"/>
        </w:rPr>
      </w:pPr>
      <w:r w:rsidRPr="008D5333">
        <w:rPr>
          <w:rFonts w:ascii="仿宋" w:eastAsia="仿宋" w:hint="eastAsia"/>
          <w:b/>
          <w:bCs/>
          <w:kern w:val="0"/>
          <w:sz w:val="48"/>
          <w:szCs w:val="48"/>
        </w:rPr>
        <w:t>三、</w:t>
      </w:r>
      <w:bookmarkStart w:id="1" w:name="_Hlk213339443"/>
      <w:r w:rsidRPr="008D5333">
        <w:rPr>
          <w:rFonts w:ascii="仿宋" w:eastAsia="仿宋" w:hint="eastAsia"/>
          <w:b/>
          <w:bCs/>
          <w:kern w:val="0"/>
          <w:sz w:val="48"/>
          <w:szCs w:val="48"/>
        </w:rPr>
        <w:t>本项目的特定资格要求</w:t>
      </w:r>
      <w:bookmarkEnd w:id="1"/>
      <w:r w:rsidRPr="008D5333">
        <w:rPr>
          <w:rFonts w:ascii="仿宋" w:eastAsia="仿宋" w:hint="eastAsia"/>
          <w:b/>
          <w:bCs/>
          <w:kern w:val="0"/>
          <w:sz w:val="48"/>
          <w:szCs w:val="48"/>
        </w:rPr>
        <w:t>：</w:t>
      </w:r>
    </w:p>
    <w:p w:rsidR="008D5333" w:rsidRPr="008D5333" w:rsidRDefault="00165940" w:rsidP="008D5333">
      <w:pPr>
        <w:pStyle w:val="a6"/>
        <w:ind w:leftChars="0" w:left="0"/>
        <w:rPr>
          <w:rFonts w:ascii="仿宋" w:eastAsia="仿宋"/>
          <w:kern w:val="0"/>
          <w:sz w:val="28"/>
          <w:szCs w:val="28"/>
        </w:rPr>
      </w:pPr>
      <w:r>
        <w:rPr>
          <w:rFonts w:ascii="仿宋" w:eastAsia="仿宋" w:hint="eastAsia"/>
          <w:kern w:val="0"/>
          <w:sz w:val="28"/>
          <w:szCs w:val="28"/>
        </w:rPr>
        <w:t>1.</w:t>
      </w:r>
      <w:r w:rsidRPr="00165940">
        <w:rPr>
          <w:rFonts w:ascii="仿宋" w:eastAsia="仿宋" w:hint="eastAsia"/>
          <w:kern w:val="0"/>
          <w:sz w:val="28"/>
          <w:szCs w:val="28"/>
        </w:rPr>
        <w:t xml:space="preserve"> 投标人具有《药品生产许可证》，生产范围包含中药饮片和颗粒剂；</w:t>
      </w:r>
    </w:p>
    <w:p w:rsidR="008D5333" w:rsidRPr="008D5333" w:rsidRDefault="008D5333" w:rsidP="008D5333">
      <w:pPr>
        <w:pStyle w:val="a6"/>
        <w:ind w:leftChars="0" w:left="0"/>
        <w:rPr>
          <w:rFonts w:ascii="仿宋" w:eastAsia="仿宋"/>
          <w:kern w:val="0"/>
          <w:sz w:val="28"/>
          <w:szCs w:val="28"/>
        </w:rPr>
      </w:pPr>
      <w:r w:rsidRPr="008D5333">
        <w:rPr>
          <w:rFonts w:ascii="仿宋" w:eastAsia="仿宋" w:hint="eastAsia"/>
          <w:kern w:val="0"/>
          <w:sz w:val="28"/>
          <w:szCs w:val="28"/>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CE4D64" w:rsidRPr="00800F47" w:rsidRDefault="00CE4D64" w:rsidP="0018331C">
      <w:pPr>
        <w:ind w:rightChars="-837" w:right="-1758"/>
        <w:rPr>
          <w:rFonts w:ascii="仿宋" w:eastAsia="仿宋"/>
          <w:kern w:val="0"/>
          <w:sz w:val="24"/>
        </w:rPr>
      </w:pPr>
    </w:p>
    <w:sectPr w:rsidR="00CE4D64" w:rsidRPr="00800F47" w:rsidSect="004338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28D" w:rsidRDefault="008B328D" w:rsidP="0018331C">
      <w:r>
        <w:separator/>
      </w:r>
    </w:p>
  </w:endnote>
  <w:endnote w:type="continuationSeparator" w:id="1">
    <w:p w:rsidR="008B328D" w:rsidRDefault="008B328D" w:rsidP="00183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28D" w:rsidRDefault="008B328D" w:rsidP="0018331C">
      <w:r>
        <w:separator/>
      </w:r>
    </w:p>
  </w:footnote>
  <w:footnote w:type="continuationSeparator" w:id="1">
    <w:p w:rsidR="008B328D" w:rsidRDefault="008B328D" w:rsidP="00183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7F95"/>
    <w:multiLevelType w:val="singleLevel"/>
    <w:tmpl w:val="079F7F95"/>
    <w:lvl w:ilvl="0">
      <w:start w:val="1"/>
      <w:numFmt w:val="decimal"/>
      <w:suff w:val="nothing"/>
      <w:lvlText w:val="%1、"/>
      <w:lvlJc w:val="left"/>
    </w:lvl>
  </w:abstractNum>
  <w:abstractNum w:abstractNumId="1">
    <w:nsid w:val="0D322BA4"/>
    <w:multiLevelType w:val="singleLevel"/>
    <w:tmpl w:val="0D322BA4"/>
    <w:lvl w:ilvl="0">
      <w:start w:val="4"/>
      <w:numFmt w:val="decimal"/>
      <w:suff w:val="nothing"/>
      <w:lvlText w:val="%1、"/>
      <w:lvlJc w:val="left"/>
    </w:lvl>
  </w:abstractNum>
  <w:abstractNum w:abstractNumId="2">
    <w:nsid w:val="1BE60FB2"/>
    <w:multiLevelType w:val="multilevel"/>
    <w:tmpl w:val="91A881C0"/>
    <w:lvl w:ilvl="0">
      <w:start w:val="1"/>
      <w:numFmt w:val="japaneseCounting"/>
      <w:lvlText w:val="%1、"/>
      <w:lvlJc w:val="left"/>
      <w:pPr>
        <w:ind w:left="4405" w:hanging="720"/>
      </w:pPr>
      <w:rPr>
        <w:rFonts w:hint="default"/>
        <w:lang w:val="en-US"/>
      </w:rPr>
    </w:lvl>
    <w:lvl w:ilvl="1">
      <w:start w:val="1"/>
      <w:numFmt w:val="lowerLetter"/>
      <w:lvlText w:val="%2)"/>
      <w:lvlJc w:val="left"/>
      <w:pPr>
        <w:ind w:left="4525" w:hanging="420"/>
      </w:pPr>
    </w:lvl>
    <w:lvl w:ilvl="2">
      <w:start w:val="1"/>
      <w:numFmt w:val="lowerRoman"/>
      <w:lvlText w:val="%3."/>
      <w:lvlJc w:val="right"/>
      <w:pPr>
        <w:ind w:left="4945" w:hanging="420"/>
      </w:pPr>
    </w:lvl>
    <w:lvl w:ilvl="3">
      <w:start w:val="1"/>
      <w:numFmt w:val="decimal"/>
      <w:lvlText w:val="%4."/>
      <w:lvlJc w:val="left"/>
      <w:pPr>
        <w:ind w:left="5365" w:hanging="420"/>
      </w:pPr>
    </w:lvl>
    <w:lvl w:ilvl="4">
      <w:start w:val="1"/>
      <w:numFmt w:val="lowerLetter"/>
      <w:lvlText w:val="%5)"/>
      <w:lvlJc w:val="left"/>
      <w:pPr>
        <w:ind w:left="5785" w:hanging="420"/>
      </w:pPr>
    </w:lvl>
    <w:lvl w:ilvl="5">
      <w:start w:val="1"/>
      <w:numFmt w:val="lowerRoman"/>
      <w:lvlText w:val="%6."/>
      <w:lvlJc w:val="right"/>
      <w:pPr>
        <w:ind w:left="6205" w:hanging="420"/>
      </w:pPr>
    </w:lvl>
    <w:lvl w:ilvl="6">
      <w:start w:val="1"/>
      <w:numFmt w:val="decimal"/>
      <w:lvlText w:val="%7."/>
      <w:lvlJc w:val="left"/>
      <w:pPr>
        <w:ind w:left="6625" w:hanging="420"/>
      </w:pPr>
    </w:lvl>
    <w:lvl w:ilvl="7">
      <w:start w:val="1"/>
      <w:numFmt w:val="lowerLetter"/>
      <w:lvlText w:val="%8)"/>
      <w:lvlJc w:val="left"/>
      <w:pPr>
        <w:ind w:left="7045" w:hanging="420"/>
      </w:pPr>
    </w:lvl>
    <w:lvl w:ilvl="8">
      <w:start w:val="1"/>
      <w:numFmt w:val="lowerRoman"/>
      <w:lvlText w:val="%9."/>
      <w:lvlJc w:val="right"/>
      <w:pPr>
        <w:ind w:left="7465" w:hanging="420"/>
      </w:pPr>
    </w:lvl>
  </w:abstractNum>
  <w:abstractNum w:abstractNumId="3">
    <w:nsid w:val="64D8A24C"/>
    <w:multiLevelType w:val="singleLevel"/>
    <w:tmpl w:val="64D8A24C"/>
    <w:lvl w:ilvl="0">
      <w:start w:val="4"/>
      <w:numFmt w:val="chineseCounting"/>
      <w:suff w:val="nothing"/>
      <w:lvlText w:val="%1、"/>
      <w:lvlJc w:val="left"/>
      <w:rPr>
        <w:rFonts w:hint="eastAsia"/>
      </w:rPr>
    </w:lvl>
  </w:abstractNum>
  <w:abstractNum w:abstractNumId="4">
    <w:nsid w:val="7C4B2CF5"/>
    <w:multiLevelType w:val="hybridMultilevel"/>
    <w:tmpl w:val="41C0E9A0"/>
    <w:lvl w:ilvl="0" w:tplc="0250F1BC">
      <w:start w:val="1"/>
      <w:numFmt w:val="japaneseCounting"/>
      <w:lvlText w:val="%1、"/>
      <w:lvlJc w:val="left"/>
      <w:pPr>
        <w:ind w:left="720" w:hanging="72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D64"/>
    <w:rsid w:val="00024511"/>
    <w:rsid w:val="00165940"/>
    <w:rsid w:val="0018331C"/>
    <w:rsid w:val="0026516E"/>
    <w:rsid w:val="0035640C"/>
    <w:rsid w:val="00433870"/>
    <w:rsid w:val="00487403"/>
    <w:rsid w:val="00571099"/>
    <w:rsid w:val="005A5A64"/>
    <w:rsid w:val="007D091C"/>
    <w:rsid w:val="00800F47"/>
    <w:rsid w:val="008B328D"/>
    <w:rsid w:val="008D5333"/>
    <w:rsid w:val="00AE05F1"/>
    <w:rsid w:val="00CE4D64"/>
    <w:rsid w:val="00E423D4"/>
    <w:rsid w:val="00F94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Sample"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18331C"/>
    <w:pPr>
      <w:widowControl w:val="0"/>
      <w:adjustRightInd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1833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33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331C"/>
    <w:rPr>
      <w:sz w:val="18"/>
      <w:szCs w:val="18"/>
    </w:rPr>
  </w:style>
  <w:style w:type="paragraph" w:styleId="a4">
    <w:name w:val="footer"/>
    <w:basedOn w:val="a"/>
    <w:link w:val="Char0"/>
    <w:unhideWhenUsed/>
    <w:rsid w:val="0018331C"/>
    <w:pPr>
      <w:tabs>
        <w:tab w:val="center" w:pos="4153"/>
        <w:tab w:val="right" w:pos="8306"/>
      </w:tabs>
      <w:snapToGrid w:val="0"/>
      <w:jc w:val="left"/>
    </w:pPr>
    <w:rPr>
      <w:sz w:val="18"/>
      <w:szCs w:val="18"/>
    </w:rPr>
  </w:style>
  <w:style w:type="character" w:customStyle="1" w:styleId="Char0">
    <w:name w:val="页脚 Char"/>
    <w:basedOn w:val="a0"/>
    <w:link w:val="a4"/>
    <w:rsid w:val="0018331C"/>
    <w:rPr>
      <w:sz w:val="18"/>
      <w:szCs w:val="18"/>
    </w:rPr>
  </w:style>
  <w:style w:type="character" w:customStyle="1" w:styleId="4Char">
    <w:name w:val="标题 4 Char"/>
    <w:basedOn w:val="a0"/>
    <w:link w:val="4"/>
    <w:uiPriority w:val="9"/>
    <w:semiHidden/>
    <w:rsid w:val="0018331C"/>
    <w:rPr>
      <w:rFonts w:asciiTheme="majorHAnsi" w:eastAsiaTheme="majorEastAsia" w:hAnsiTheme="majorHAnsi" w:cstheme="majorBidi"/>
      <w:b/>
      <w:bCs/>
      <w:sz w:val="28"/>
      <w:szCs w:val="28"/>
    </w:rPr>
  </w:style>
  <w:style w:type="paragraph" w:styleId="a5">
    <w:name w:val="List Paragraph"/>
    <w:basedOn w:val="a"/>
    <w:uiPriority w:val="34"/>
    <w:qFormat/>
    <w:rsid w:val="0018331C"/>
    <w:pPr>
      <w:ind w:firstLineChars="200" w:firstLine="420"/>
    </w:pPr>
  </w:style>
  <w:style w:type="paragraph" w:styleId="a6">
    <w:name w:val="Body Text Indent"/>
    <w:basedOn w:val="a"/>
    <w:link w:val="Char1"/>
    <w:uiPriority w:val="99"/>
    <w:unhideWhenUsed/>
    <w:qFormat/>
    <w:rsid w:val="00F947D2"/>
    <w:pPr>
      <w:adjustRightInd/>
      <w:spacing w:after="120"/>
      <w:ind w:leftChars="200" w:left="420"/>
    </w:pPr>
    <w:rPr>
      <w:rFonts w:asciiTheme="minorHAnsi" w:eastAsiaTheme="minorEastAsia" w:hAnsiTheme="minorHAnsi" w:cstheme="minorBidi"/>
    </w:rPr>
  </w:style>
  <w:style w:type="character" w:customStyle="1" w:styleId="Char1">
    <w:name w:val="正文文本缩进 Char"/>
    <w:basedOn w:val="a0"/>
    <w:link w:val="a6"/>
    <w:uiPriority w:val="99"/>
    <w:rsid w:val="00F947D2"/>
    <w:rPr>
      <w:szCs w:val="24"/>
    </w:rPr>
  </w:style>
  <w:style w:type="paragraph" w:styleId="a7">
    <w:name w:val="Normal (Web)"/>
    <w:basedOn w:val="a"/>
    <w:rsid w:val="00F947D2"/>
    <w:pPr>
      <w:adjustRightInd/>
      <w:spacing w:beforeAutospacing="1" w:afterAutospacing="1"/>
      <w:jc w:val="left"/>
    </w:pPr>
    <w:rPr>
      <w:rFonts w:asciiTheme="minorHAnsi" w:eastAsiaTheme="minorEastAsia" w:hAnsiTheme="minorHAnsi"/>
      <w:kern w:val="0"/>
      <w:sz w:val="24"/>
    </w:rPr>
  </w:style>
  <w:style w:type="table" w:styleId="a8">
    <w:name w:val="Table Grid"/>
    <w:basedOn w:val="a1"/>
    <w:qFormat/>
    <w:rsid w:val="00F947D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947D2"/>
    <w:rPr>
      <w:b/>
    </w:rPr>
  </w:style>
  <w:style w:type="character" w:styleId="HTML">
    <w:name w:val="HTML Sample"/>
    <w:basedOn w:val="a0"/>
    <w:rsid w:val="00F947D2"/>
    <w:rPr>
      <w:rFonts w:ascii="Courier New" w:hAnsi="Courier New"/>
    </w:rPr>
  </w:style>
  <w:style w:type="paragraph" w:customStyle="1" w:styleId="Normal">
    <w:name w:val="[Normal]"/>
    <w:qFormat/>
    <w:rsid w:val="00F947D2"/>
    <w:rPr>
      <w:rFonts w:ascii="宋体" w:eastAsia="Calibri" w:hAnsi="宋体" w:cs="Times New Roman"/>
      <w:kern w:val="0"/>
      <w:sz w:val="24"/>
      <w:lang w:val="zh-CN"/>
    </w:rPr>
  </w:style>
  <w:style w:type="character" w:styleId="aa">
    <w:name w:val="Hyperlink"/>
    <w:uiPriority w:val="99"/>
    <w:unhideWhenUsed/>
    <w:rsid w:val="00F947D2"/>
    <w:rPr>
      <w:color w:val="0000FF"/>
      <w:u w:val="single"/>
    </w:rPr>
  </w:style>
  <w:style w:type="character" w:customStyle="1" w:styleId="UnresolvedMention">
    <w:name w:val="Unresolved Mention"/>
    <w:basedOn w:val="a0"/>
    <w:uiPriority w:val="99"/>
    <w:semiHidden/>
    <w:unhideWhenUsed/>
    <w:rsid w:val="00F947D2"/>
    <w:rPr>
      <w:color w:val="605E5C"/>
      <w:shd w:val="clear" w:color="auto" w:fill="E1DFDD"/>
    </w:rPr>
  </w:style>
  <w:style w:type="paragraph" w:styleId="ab">
    <w:name w:val="Balloon Text"/>
    <w:basedOn w:val="a"/>
    <w:link w:val="Char2"/>
    <w:rsid w:val="00F947D2"/>
    <w:pPr>
      <w:adjustRightInd/>
    </w:pPr>
    <w:rPr>
      <w:rFonts w:asciiTheme="minorHAnsi" w:eastAsiaTheme="minorEastAsia" w:hAnsiTheme="minorHAnsi" w:cstheme="minorBidi"/>
      <w:sz w:val="18"/>
      <w:szCs w:val="18"/>
    </w:rPr>
  </w:style>
  <w:style w:type="character" w:customStyle="1" w:styleId="Char2">
    <w:name w:val="批注框文本 Char"/>
    <w:basedOn w:val="a0"/>
    <w:link w:val="ab"/>
    <w:rsid w:val="00F947D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2025-11-06T00:29:00Z</dcterms:created>
  <dcterms:modified xsi:type="dcterms:W3CDTF">2025-11-07T08:39:00Z</dcterms:modified>
</cp:coreProperties>
</file>